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rPr>
          <w:rFonts w:hint="eastAsia" w:asciiTheme="minorEastAsia" w:hAnsiTheme="minorEastAsia" w:eastAsiaTheme="minorEastAsia" w:cstheme="minorEastAsia"/>
          <w:b/>
          <w:bCs/>
          <w:color w:val="auto"/>
          <w:sz w:val="28"/>
          <w:szCs w:val="28"/>
          <w:lang w:val="en-US" w:eastAsia="zh-CN"/>
        </w:rPr>
      </w:pPr>
      <w:r>
        <w:rPr>
          <w:rStyle w:val="18"/>
          <w:rFonts w:hint="eastAsia" w:asciiTheme="minorEastAsia" w:hAnsiTheme="minorEastAsia" w:eastAsiaTheme="minorEastAsia" w:cstheme="minorEastAsia"/>
          <w:b/>
          <w:bCs/>
          <w:color w:val="auto"/>
          <w:spacing w:val="8"/>
          <w:sz w:val="28"/>
          <w:szCs w:val="28"/>
          <w:shd w:val="clear" w:color="auto" w:fill="FFFFFF"/>
        </w:rPr>
        <w:t>参会论文编辑体例要求</w:t>
      </w:r>
    </w:p>
    <w:p>
      <w:pPr>
        <w:pStyle w:val="1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Style w:val="18"/>
          <w:rFonts w:hint="eastAsia" w:asciiTheme="minorEastAsia" w:hAnsiTheme="minorEastAsia" w:eastAsiaTheme="minorEastAsia" w:cstheme="minorEastAsia"/>
          <w:b w:val="0"/>
          <w:bCs w:val="0"/>
          <w:color w:val="auto"/>
          <w:spacing w:val="8"/>
          <w:sz w:val="22"/>
          <w:szCs w:val="22"/>
          <w:shd w:val="clear" w:color="auto" w:fill="FFFFFF"/>
        </w:rPr>
        <w:t>中英文标题</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学校+学院、城市、邮编、姓名</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摘要：摘录文稿核心语句，采用第三人称叙述，集中凝练地涵盖全文主旨，字数约200～220字左右，有自明性和独立性。</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关键词：（4-5个为宜）</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0" w:leftChars="0" w:firstLine="417" w:firstLineChars="177"/>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*以上四项均须翻译成英文</w:t>
      </w:r>
    </w:p>
    <w:p>
      <w:pPr>
        <w:pStyle w:val="1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firstLine="472" w:firstLineChars="200"/>
        <w:jc w:val="both"/>
        <w:textAlignment w:val="auto"/>
        <w:rPr>
          <w:rStyle w:val="18"/>
          <w:rFonts w:hint="eastAsia" w:asciiTheme="minorEastAsia" w:hAnsiTheme="minorEastAsia" w:eastAsiaTheme="minorEastAsia" w:cstheme="minorEastAsia"/>
          <w:b w:val="0"/>
          <w:bCs w:val="0"/>
          <w:color w:val="auto"/>
          <w:spacing w:val="8"/>
          <w:sz w:val="22"/>
          <w:szCs w:val="22"/>
          <w:shd w:val="clear" w:color="auto" w:fill="FFFFFF"/>
        </w:rPr>
      </w:pPr>
      <w:r>
        <w:rPr>
          <w:rStyle w:val="18"/>
          <w:rFonts w:hint="eastAsia" w:asciiTheme="minorEastAsia" w:hAnsiTheme="minorEastAsia" w:eastAsiaTheme="minorEastAsia" w:cstheme="minorEastAsia"/>
          <w:b w:val="0"/>
          <w:bCs w:val="0"/>
          <w:color w:val="auto"/>
          <w:spacing w:val="8"/>
          <w:sz w:val="22"/>
          <w:szCs w:val="22"/>
          <w:shd w:val="clear" w:color="auto" w:fill="FFFFFF"/>
        </w:rPr>
        <w:t>正文撰写要求</w:t>
      </w:r>
    </w:p>
    <w:p>
      <w:pPr>
        <w:pStyle w:val="1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各级标题应简洁凝练，反映主旨内涵；</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2）各级标题序号按照：1./1.1/①格式编排；</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3）正文用规范汉字进行撰写，除涉及的古文字和参考文献中引用的外文文献之外，均采用简体中文撰写；</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4）除各级标题外，正文统一使用五号宋体。</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Style w:val="18"/>
          <w:rFonts w:hint="eastAsia" w:asciiTheme="minorEastAsia" w:hAnsiTheme="minorEastAsia" w:eastAsiaTheme="minorEastAsia" w:cstheme="minorEastAsia"/>
          <w:b w:val="0"/>
          <w:bCs w:val="0"/>
          <w:color w:val="auto"/>
          <w:spacing w:val="8"/>
          <w:sz w:val="22"/>
          <w:szCs w:val="22"/>
          <w:shd w:val="clear" w:color="auto" w:fill="FFFFFF"/>
        </w:rPr>
      </w:pPr>
      <w:r>
        <w:rPr>
          <w:rStyle w:val="18"/>
          <w:rFonts w:hint="eastAsia" w:asciiTheme="minorEastAsia" w:hAnsiTheme="minorEastAsia" w:eastAsiaTheme="minorEastAsia" w:cstheme="minorEastAsia"/>
          <w:b w:val="0"/>
          <w:bCs w:val="0"/>
          <w:color w:val="auto"/>
          <w:spacing w:val="8"/>
          <w:sz w:val="22"/>
          <w:szCs w:val="22"/>
          <w:shd w:val="clear" w:color="auto" w:fill="FFFFFF"/>
        </w:rPr>
        <w:t>3.参考文献或注释</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1）参考文献不少于10 条，一般要至少引用本刊文献2篇，CSSCI文献不少于5篇，且近5年发表的文献占总数的70%以上，不能引用网络参考文献；</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2）参考文献一律置入文后；</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3）参考文献采用“[1] 、[2] 、[3] ……”形式，标注在所注文字或句子的右上角；</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4）若是对具体文字的标注，注码要紧随其后；若是对一句话的标注，注码要标注在句末标点后；</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5）不同参考文献标注内容与格式：</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专著：作者（多于3名时加“等”字）.书名[M].出版地:出版社,出版年:所在页码</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中文期刊：作者（多于3名时加“等”字）.题名[J].刊名.出版年,卷（期）:所在页码</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古代文献：（朝代）著者姓名.书名[M].校注者.出版地:出版社,出版年:所在页码</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译著图书：[国籍]著者姓名.书名[M].译者.出版地:出版社,出版年:所在页码</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外文著作或期刊：著录内容、顺序同上，但著作名或题名要用斜体。</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如 著作：Hans J. Morgenthau. Politicsamong Nations: The Struggle for Power and Peace, 6th ed.[M]. NewYork: Alfred A. Knopf,1985,pp.389-392.（单页用p.）</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文章：J.E. Macías-Díaz. On the numerical and structural properties of a logarithmic scheme for diffusion–reaction equations[J].Applied Numerical Mathematics,2019,p.140.</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报纸文章或报道：题目，《报纸名称》年月日第X版。若为国外出版的中文报纸，可在报纸名称前用[ ]注明期刊出版国家。</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标准：起草责任者.标准代号.标准顺序号.发布年份.标准名称［S］.出版地.出版者,出版年</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专利：专利申请者.题名[P].国别.专利文献种类.专利号,出版日期</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学位论文：作者.题名［D］.出版地:保存单位.出版年.所在页码</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电子文献：责任者电子文献题名［电子文献及载体类型标识］.电子文献网址.年－月－日.文献作者3名以内的全部列出；3名以上则列出前3名，后加“等”（英文加“et al”)</w:t>
      </w:r>
      <w:r>
        <w:rPr>
          <w:rFonts w:hint="eastAsia" w:asciiTheme="minorEastAsia" w:hAnsiTheme="minorEastAsia" w:eastAsiaTheme="minorEastAsia" w:cstheme="minorEastAsia"/>
          <w:b w:val="0"/>
          <w:bCs w:val="0"/>
          <w:color w:val="auto"/>
          <w:spacing w:val="8"/>
          <w:sz w:val="22"/>
          <w:szCs w:val="22"/>
          <w:shd w:val="clear" w:color="auto" w:fill="FFFFFF"/>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4.基金项目</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格式：湖南省教育厅科学研究基金项目(2019Z001)</w:t>
      </w:r>
    </w:p>
    <w:p>
      <w:pPr>
        <w:pStyle w:val="1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rPr>
      </w:pPr>
      <w:r>
        <w:rPr>
          <w:rFonts w:hint="eastAsia" w:asciiTheme="minorEastAsia" w:hAnsiTheme="minorEastAsia" w:eastAsiaTheme="minorEastAsia" w:cstheme="minorEastAsia"/>
          <w:b w:val="0"/>
          <w:bCs w:val="0"/>
          <w:color w:val="auto"/>
          <w:spacing w:val="8"/>
          <w:sz w:val="22"/>
          <w:szCs w:val="22"/>
          <w:shd w:val="clear" w:color="auto" w:fill="FFFFFF"/>
        </w:rPr>
        <w:t>关于作者</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72" w:firstLineChars="200"/>
        <w:jc w:val="both"/>
        <w:textAlignment w:val="auto"/>
        <w:rPr>
          <w:rFonts w:hint="eastAsia" w:asciiTheme="minorEastAsia" w:hAnsiTheme="minorEastAsia" w:eastAsiaTheme="minorEastAsia" w:cstheme="minorEastAsia"/>
          <w:b w:val="0"/>
          <w:bCs w:val="0"/>
          <w:color w:val="auto"/>
          <w:spacing w:val="8"/>
          <w:sz w:val="22"/>
          <w:szCs w:val="22"/>
          <w:shd w:val="clear" w:color="auto" w:fill="FFFFFF"/>
          <w:lang w:eastAsia="zh-CN"/>
        </w:rPr>
      </w:pPr>
      <w:r>
        <w:rPr>
          <w:rFonts w:hint="eastAsia" w:asciiTheme="minorEastAsia" w:hAnsiTheme="minorEastAsia" w:eastAsiaTheme="minorEastAsia" w:cstheme="minorEastAsia"/>
          <w:b w:val="0"/>
          <w:bCs w:val="0"/>
          <w:color w:val="auto"/>
          <w:spacing w:val="8"/>
          <w:sz w:val="22"/>
          <w:szCs w:val="22"/>
          <w:shd w:val="clear" w:color="auto" w:fill="FFFFFF"/>
        </w:rPr>
        <w:t>作者登记表（第一作者与通信作者都需提交）</w:t>
      </w:r>
    </w:p>
    <w:p>
      <w:pPr>
        <w:ind w:firstLine="560"/>
        <w:jc w:val="center"/>
        <w:rPr>
          <w:rFonts w:hint="eastAsia" w:ascii="黑体" w:hAnsi="黑体" w:eastAsia="黑体"/>
          <w:sz w:val="28"/>
          <w:szCs w:val="28"/>
        </w:rPr>
      </w:pPr>
    </w:p>
    <w:p>
      <w:pPr>
        <w:ind w:firstLine="560"/>
        <w:jc w:val="center"/>
        <w:rPr>
          <w:rFonts w:hint="eastAsia" w:ascii="黑体" w:hAnsi="黑体" w:eastAsia="黑体"/>
          <w:sz w:val="28"/>
          <w:szCs w:val="28"/>
        </w:rPr>
      </w:pPr>
    </w:p>
    <w:p>
      <w:pPr>
        <w:ind w:firstLine="560"/>
        <w:jc w:val="center"/>
        <w:rPr>
          <w:rFonts w:hint="eastAsia" w:ascii="黑体" w:hAnsi="黑体" w:eastAsia="黑体"/>
          <w:sz w:val="28"/>
          <w:szCs w:val="28"/>
        </w:rPr>
      </w:pPr>
    </w:p>
    <w:p>
      <w:pPr>
        <w:ind w:firstLine="560"/>
        <w:jc w:val="center"/>
        <w:rPr>
          <w:rFonts w:hint="eastAsia" w:ascii="黑体" w:hAnsi="黑体" w:eastAsia="黑体"/>
          <w:sz w:val="28"/>
          <w:szCs w:val="28"/>
        </w:rPr>
      </w:pPr>
    </w:p>
    <w:p>
      <w:pPr>
        <w:ind w:firstLine="560"/>
        <w:jc w:val="center"/>
        <w:rPr>
          <w:rFonts w:hint="eastAsia" w:ascii="黑体" w:hAnsi="黑体" w:eastAsia="黑体"/>
          <w:sz w:val="28"/>
          <w:szCs w:val="28"/>
        </w:rPr>
      </w:pPr>
    </w:p>
    <w:p>
      <w:pPr>
        <w:ind w:firstLine="560"/>
        <w:jc w:val="center"/>
        <w:rPr>
          <w:rFonts w:hint="eastAsia" w:ascii="黑体" w:hAnsi="黑体" w:eastAsia="黑体"/>
          <w:sz w:val="28"/>
          <w:szCs w:val="28"/>
        </w:rPr>
      </w:pPr>
    </w:p>
    <w:p>
      <w:pPr>
        <w:ind w:firstLine="560"/>
        <w:jc w:val="center"/>
        <w:rPr>
          <w:rFonts w:ascii="黑体" w:hAnsi="黑体" w:eastAsia="黑体"/>
          <w:sz w:val="28"/>
          <w:szCs w:val="28"/>
        </w:rPr>
      </w:pPr>
      <w:bookmarkStart w:id="0" w:name="_GoBack"/>
      <w:bookmarkEnd w:id="0"/>
      <w:r>
        <w:rPr>
          <w:rFonts w:hint="eastAsia" w:ascii="黑体" w:hAnsi="黑体" w:eastAsia="黑体"/>
          <w:sz w:val="28"/>
          <w:szCs w:val="28"/>
        </w:rPr>
        <w:t>XXXXXXXXXX设计教育国际化战略研究</w:t>
      </w:r>
    </w:p>
    <w:p>
      <w:pPr>
        <w:pStyle w:val="12"/>
        <w:widowControl/>
        <w:spacing w:beforeAutospacing="0" w:afterAutospacing="0"/>
        <w:ind w:firstLine="422"/>
        <w:rPr>
          <w:b/>
          <w:color w:val="0000FF"/>
          <w:sz w:val="21"/>
          <w:szCs w:val="21"/>
        </w:rPr>
      </w:pPr>
      <w:r>
        <w:rPr>
          <w:b/>
          <w:color w:val="0000FF"/>
          <w:sz w:val="21"/>
          <w:szCs w:val="21"/>
        </w:rPr>
        <w:t>（文章标题不能带副标题，不能超过20个字，通常不能带标点符号，标题从语法上看，应属于偏正短语）</w:t>
      </w:r>
    </w:p>
    <w:p>
      <w:pPr>
        <w:pStyle w:val="12"/>
        <w:widowControl/>
        <w:spacing w:beforeAutospacing="0" w:afterAutospacing="0"/>
        <w:ind w:firstLine="520"/>
        <w:jc w:val="center"/>
        <w:rPr>
          <w:bCs/>
          <w:color w:val="000000"/>
          <w:sz w:val="26"/>
          <w:szCs w:val="26"/>
        </w:rPr>
      </w:pPr>
      <w:r>
        <w:rPr>
          <w:bCs/>
          <w:color w:val="000000"/>
          <w:sz w:val="26"/>
          <w:szCs w:val="26"/>
        </w:rPr>
        <w:t>XX</w:t>
      </w:r>
      <w:r>
        <w:rPr>
          <w:bCs/>
          <w:color w:val="000000"/>
          <w:sz w:val="26"/>
          <w:szCs w:val="26"/>
          <w:vertAlign w:val="superscript"/>
        </w:rPr>
        <w:t>1</w:t>
      </w:r>
      <w:r>
        <w:rPr>
          <w:bCs/>
          <w:color w:val="000000"/>
          <w:sz w:val="26"/>
          <w:szCs w:val="26"/>
        </w:rPr>
        <w:t>，XXX</w:t>
      </w:r>
      <w:r>
        <w:rPr>
          <w:bCs/>
          <w:color w:val="000000"/>
          <w:sz w:val="26"/>
          <w:szCs w:val="26"/>
          <w:vertAlign w:val="superscript"/>
        </w:rPr>
        <w:t>2</w:t>
      </w:r>
      <w:r>
        <w:rPr>
          <w:bCs/>
          <w:color w:val="000000"/>
          <w:sz w:val="26"/>
          <w:szCs w:val="26"/>
        </w:rPr>
        <w:t>，XXX</w:t>
      </w:r>
      <w:r>
        <w:rPr>
          <w:rFonts w:hint="eastAsia"/>
          <w:bCs/>
          <w:color w:val="000000"/>
          <w:sz w:val="26"/>
          <w:szCs w:val="26"/>
          <w:vertAlign w:val="superscript"/>
        </w:rPr>
        <w:t>3</w:t>
      </w:r>
    </w:p>
    <w:p>
      <w:pPr>
        <w:pStyle w:val="12"/>
        <w:widowControl/>
        <w:numPr>
          <w:ilvl w:val="0"/>
          <w:numId w:val="4"/>
        </w:numPr>
        <w:spacing w:beforeAutospacing="0" w:afterAutospacing="0"/>
        <w:ind w:firstLine="420"/>
        <w:rPr>
          <w:bCs/>
          <w:color w:val="000000"/>
          <w:sz w:val="21"/>
          <w:szCs w:val="21"/>
        </w:rPr>
      </w:pPr>
      <w:r>
        <w:rPr>
          <w:bCs/>
          <w:color w:val="000000"/>
          <w:sz w:val="21"/>
          <w:szCs w:val="21"/>
        </w:rPr>
        <w:t>湖南</w:t>
      </w:r>
      <w:r>
        <w:rPr>
          <w:rFonts w:hint="eastAsia"/>
          <w:bCs/>
          <w:color w:val="000000"/>
          <w:sz w:val="21"/>
          <w:szCs w:val="21"/>
        </w:rPr>
        <w:t>师范</w:t>
      </w:r>
      <w:r>
        <w:rPr>
          <w:bCs/>
          <w:color w:val="000000"/>
          <w:sz w:val="21"/>
          <w:szCs w:val="21"/>
        </w:rPr>
        <w:t>大学，湖南长沙 300222；2.</w:t>
      </w:r>
      <w:r>
        <w:rPr>
          <w:rFonts w:hint="eastAsia"/>
          <w:bCs/>
          <w:color w:val="000000"/>
          <w:sz w:val="21"/>
          <w:szCs w:val="21"/>
        </w:rPr>
        <w:t>中南林业科技大学</w:t>
      </w:r>
      <w:r>
        <w:rPr>
          <w:bCs/>
          <w:color w:val="000000"/>
          <w:sz w:val="21"/>
          <w:szCs w:val="21"/>
        </w:rPr>
        <w:t xml:space="preserve">，湖南长沙 </w:t>
      </w:r>
      <w:r>
        <w:rPr>
          <w:rFonts w:hint="eastAsia"/>
          <w:bCs/>
          <w:color w:val="000000"/>
          <w:sz w:val="21"/>
          <w:szCs w:val="21"/>
        </w:rPr>
        <w:t>410004</w:t>
      </w:r>
      <w:r>
        <w:rPr>
          <w:bCs/>
          <w:color w:val="000000"/>
          <w:sz w:val="21"/>
          <w:szCs w:val="21"/>
        </w:rPr>
        <w:t>）</w:t>
      </w:r>
    </w:p>
    <w:p>
      <w:pPr>
        <w:pStyle w:val="12"/>
        <w:widowControl/>
        <w:ind w:firstLine="422"/>
        <w:rPr>
          <w:b/>
          <w:color w:val="0000FF"/>
          <w:sz w:val="19"/>
          <w:szCs w:val="19"/>
        </w:rPr>
      </w:pPr>
      <w:r>
        <w:rPr>
          <w:rFonts w:hint="eastAsia"/>
          <w:b/>
          <w:sz w:val="21"/>
          <w:szCs w:val="21"/>
        </w:rPr>
        <w:t>摘  要：</w:t>
      </w:r>
      <w:r>
        <w:rPr>
          <w:rFonts w:hint="eastAsia"/>
          <w:sz w:val="21"/>
          <w:szCs w:val="21"/>
        </w:rPr>
        <w:t>分析和探讨了意大利米兰理工大学的国际化战略。米兰理工大学在欧洲高等教育一体化的驱动下开启了意大利设计教育的国际化战略，其国际化战略提高了意大利设计教育的欧洲、地中海连接度，促进了意大利国际贸易和国际教育的发展；米兰市为米兰理工大学的国际化战略提供得天独厚的基础，学校的国际化设计教学、设计研究、实验室、培训机构和科学管理吸引了来自全球的设计师生；调整设计教育的国际化方向，服务意大利经济战略成为了米兰理工大学的国际化战略的基本出发点......</w:t>
      </w:r>
      <w:r>
        <w:rPr>
          <w:b/>
          <w:color w:val="0000FF"/>
          <w:sz w:val="19"/>
          <w:szCs w:val="19"/>
        </w:rPr>
        <w:t>（摘要字数必须达到200～220字）</w:t>
      </w:r>
    </w:p>
    <w:p>
      <w:pPr>
        <w:pStyle w:val="12"/>
        <w:widowControl/>
        <w:ind w:firstLine="422"/>
        <w:rPr>
          <w:b/>
          <w:color w:val="0000FF"/>
          <w:sz w:val="19"/>
          <w:szCs w:val="19"/>
        </w:rPr>
      </w:pPr>
      <w:r>
        <w:rPr>
          <w:rFonts w:hint="eastAsia"/>
          <w:b/>
          <w:sz w:val="21"/>
          <w:szCs w:val="21"/>
        </w:rPr>
        <w:t>关键词：</w:t>
      </w:r>
      <w:r>
        <w:rPr>
          <w:rFonts w:hint="eastAsia"/>
          <w:sz w:val="21"/>
          <w:szCs w:val="21"/>
        </w:rPr>
        <w:t>欧洲一体化；经济战略；教育国际化</w:t>
      </w:r>
      <w:r>
        <w:rPr>
          <w:b/>
          <w:color w:val="0000FF"/>
          <w:sz w:val="19"/>
          <w:szCs w:val="19"/>
        </w:rPr>
        <w:t>（关键词为 3~8 个，用“；”分隔）</w:t>
      </w:r>
    </w:p>
    <w:p>
      <w:pPr>
        <w:pStyle w:val="12"/>
        <w:widowControl/>
        <w:ind w:firstLine="420"/>
        <w:jc w:val="center"/>
        <w:rPr>
          <w:b/>
          <w:color w:val="0000FF"/>
          <w:sz w:val="21"/>
          <w:szCs w:val="21"/>
        </w:rPr>
      </w:pPr>
      <w:r>
        <w:rPr>
          <w:sz w:val="21"/>
          <w:szCs w:val="21"/>
        </w:rPr>
        <w:t xml:space="preserve">Strategy </w:t>
      </w:r>
      <w:r>
        <w:rPr>
          <w:rFonts w:hint="eastAsia"/>
          <w:sz w:val="21"/>
          <w:szCs w:val="21"/>
        </w:rPr>
        <w:t xml:space="preserve">of </w:t>
      </w:r>
      <w:r>
        <w:rPr>
          <w:sz w:val="21"/>
          <w:szCs w:val="21"/>
        </w:rPr>
        <w:t xml:space="preserve">Internationalization Design Education </w:t>
      </w:r>
      <w:r>
        <w:rPr>
          <w:b/>
          <w:color w:val="0000FF"/>
          <w:sz w:val="21"/>
          <w:szCs w:val="21"/>
        </w:rPr>
        <w:t>（Times New Roman）</w:t>
      </w:r>
    </w:p>
    <w:p>
      <w:pPr>
        <w:pStyle w:val="12"/>
        <w:widowControl/>
        <w:ind w:firstLine="420"/>
        <w:jc w:val="center"/>
        <w:rPr>
          <w:b/>
          <w:color w:val="0000FF"/>
          <w:sz w:val="21"/>
          <w:szCs w:val="21"/>
        </w:rPr>
      </w:pPr>
      <w:r>
        <w:rPr>
          <w:bCs/>
          <w:color w:val="000000"/>
          <w:sz w:val="21"/>
          <w:szCs w:val="21"/>
        </w:rPr>
        <w:t>XX</w:t>
      </w:r>
      <w:r>
        <w:rPr>
          <w:bCs/>
          <w:color w:val="000000"/>
          <w:sz w:val="21"/>
          <w:szCs w:val="21"/>
          <w:vertAlign w:val="superscript"/>
        </w:rPr>
        <w:t>1</w:t>
      </w:r>
      <w:r>
        <w:rPr>
          <w:bCs/>
          <w:color w:val="000000"/>
          <w:sz w:val="21"/>
          <w:szCs w:val="21"/>
        </w:rPr>
        <w:t>，XXX</w:t>
      </w:r>
      <w:r>
        <w:rPr>
          <w:bCs/>
          <w:color w:val="000000"/>
          <w:sz w:val="21"/>
          <w:szCs w:val="21"/>
          <w:vertAlign w:val="superscript"/>
        </w:rPr>
        <w:t>2</w:t>
      </w:r>
      <w:r>
        <w:rPr>
          <w:bCs/>
          <w:color w:val="000000"/>
          <w:sz w:val="21"/>
          <w:szCs w:val="21"/>
        </w:rPr>
        <w:t>，XXX</w:t>
      </w:r>
      <w:r>
        <w:rPr>
          <w:rFonts w:hint="eastAsia"/>
          <w:bCs/>
          <w:color w:val="000000"/>
          <w:sz w:val="21"/>
          <w:szCs w:val="21"/>
          <w:vertAlign w:val="superscript"/>
        </w:rPr>
        <w:t>3</w:t>
      </w:r>
      <w:r>
        <w:rPr>
          <w:b/>
          <w:color w:val="0000FF"/>
          <w:sz w:val="21"/>
          <w:szCs w:val="21"/>
        </w:rPr>
        <w:t>（Times New Roman）</w:t>
      </w:r>
    </w:p>
    <w:p>
      <w:pPr>
        <w:spacing w:line="280" w:lineRule="exact"/>
        <w:ind w:firstLine="422"/>
        <w:rPr>
          <w:sz w:val="21"/>
          <w:szCs w:val="21"/>
        </w:rPr>
      </w:pPr>
      <w:r>
        <w:rPr>
          <w:rFonts w:hint="eastAsia"/>
          <w:b/>
          <w:sz w:val="21"/>
          <w:szCs w:val="21"/>
        </w:rPr>
        <w:t>Abstract</w:t>
      </w:r>
      <w:r>
        <w:rPr>
          <w:rFonts w:hint="eastAsia"/>
          <w:sz w:val="21"/>
          <w:szCs w:val="21"/>
        </w:rPr>
        <w:t xml:space="preserve"> :This paper aimed at presenting and discussing the internationalization strategy of </w:t>
      </w:r>
      <w:r>
        <w:rPr>
          <w:sz w:val="21"/>
          <w:szCs w:val="21"/>
        </w:rPr>
        <w:t>Polytechnic</w:t>
      </w:r>
      <w:r>
        <w:rPr>
          <w:rFonts w:hint="eastAsia"/>
          <w:sz w:val="21"/>
          <w:szCs w:val="21"/>
        </w:rPr>
        <w:t xml:space="preserve"> di Milano ,a leading technical university in Italy.</w:t>
      </w:r>
      <w:r>
        <w:rPr>
          <w:sz w:val="21"/>
          <w:szCs w:val="21"/>
        </w:rPr>
        <w:t>Polytechnic</w:t>
      </w:r>
      <w:r>
        <w:rPr>
          <w:rFonts w:hint="eastAsia"/>
          <w:sz w:val="21"/>
          <w:szCs w:val="21"/>
        </w:rPr>
        <w:t xml:space="preserve"> di Milano opened the Italian design education internationalization strategy in Europe, driven by higher integration, Its</w:t>
      </w:r>
      <w:r>
        <w:rPr>
          <w:sz w:val="21"/>
          <w:szCs w:val="21"/>
        </w:rPr>
        <w:t> internationalization strategy improves Italy design education in Europe</w:t>
      </w:r>
      <w:r>
        <w:rPr>
          <w:rFonts w:hint="eastAsia"/>
          <w:sz w:val="21"/>
          <w:szCs w:val="21"/>
        </w:rPr>
        <w:t xml:space="preserve"> and </w:t>
      </w:r>
      <w:r>
        <w:rPr>
          <w:sz w:val="21"/>
          <w:szCs w:val="21"/>
        </w:rPr>
        <w:t>the Eastern Mediterranean connectivity</w:t>
      </w:r>
      <w:r>
        <w:rPr>
          <w:rFonts w:hint="eastAsia"/>
          <w:sz w:val="21"/>
          <w:szCs w:val="21"/>
        </w:rPr>
        <w:t>;Milan offers a unique foundation for the internationalization strategy of the University , the international design teaching, design research, laboratories, training institutions and scientific management design attracted students and teachers from all around the world.</w:t>
      </w:r>
      <w:r>
        <w:rPr>
          <w:sz w:val="21"/>
          <w:szCs w:val="21"/>
        </w:rPr>
        <w:t xml:space="preserve"> </w:t>
      </w:r>
    </w:p>
    <w:p>
      <w:pPr>
        <w:spacing w:line="280" w:lineRule="exact"/>
        <w:ind w:firstLine="422"/>
        <w:rPr>
          <w:sz w:val="21"/>
          <w:szCs w:val="21"/>
        </w:rPr>
      </w:pPr>
      <w:r>
        <w:rPr>
          <w:rFonts w:hint="eastAsia"/>
          <w:b/>
          <w:sz w:val="21"/>
          <w:szCs w:val="21"/>
        </w:rPr>
        <w:t>Key words</w:t>
      </w:r>
      <w:r>
        <w:rPr>
          <w:rFonts w:hint="eastAsia"/>
          <w:sz w:val="21"/>
          <w:szCs w:val="21"/>
        </w:rPr>
        <w:t>:European integration; economic strategy; internationalization of education; organizational strategies</w:t>
      </w:r>
    </w:p>
    <w:p>
      <w:pPr>
        <w:spacing w:line="280" w:lineRule="exact"/>
        <w:ind w:firstLine="420"/>
        <w:rPr>
          <w:sz w:val="21"/>
          <w:szCs w:val="21"/>
        </w:rPr>
      </w:pPr>
    </w:p>
    <w:p>
      <w:pPr>
        <w:ind w:firstLine="422"/>
        <w:rPr>
          <w:sz w:val="21"/>
          <w:szCs w:val="21"/>
        </w:rPr>
      </w:pPr>
      <w:r>
        <w:rPr>
          <w:rFonts w:hint="eastAsia"/>
          <w:b/>
          <w:color w:val="0000FF"/>
          <w:kern w:val="0"/>
          <w:sz w:val="21"/>
          <w:szCs w:val="21"/>
        </w:rPr>
        <w:t>引言：</w:t>
      </w:r>
      <w:r>
        <w:rPr>
          <w:rFonts w:hint="eastAsia"/>
          <w:sz w:val="21"/>
          <w:szCs w:val="21"/>
        </w:rPr>
        <w:t>20世纪90年代欧洲一体化进程取得了阶段性成果，1993年欧洲基本实现了统一的大市场，进而欧洲一体化进程开始在教育和文化领域快速发展。1993年意大利教育、大学和研究部产生了新任部长，这一人事任命开启了意大利高等教育的国际化进程。</w:t>
      </w:r>
      <w:r>
        <w:rPr>
          <w:rFonts w:hint="eastAsia"/>
          <w:sz w:val="21"/>
          <w:szCs w:val="21"/>
          <w:vertAlign w:val="superscript"/>
        </w:rPr>
        <w:t>[1]</w:t>
      </w:r>
      <w:r>
        <w:rPr>
          <w:rFonts w:hint="eastAsia"/>
          <w:sz w:val="21"/>
          <w:szCs w:val="21"/>
        </w:rPr>
        <w:t>1998年欧盟各国在意大利的博洛尼亚大学（</w:t>
      </w:r>
      <w:r>
        <w:rPr>
          <w:sz w:val="21"/>
          <w:szCs w:val="21"/>
        </w:rPr>
        <w:t>University of Bologna</w:t>
      </w:r>
      <w:r>
        <w:rPr>
          <w:rFonts w:hint="eastAsia"/>
          <w:sz w:val="21"/>
          <w:szCs w:val="21"/>
        </w:rPr>
        <w:t>）开启了促进欧洲高等教育国际化发展的“博洛尼亚进程”（</w:t>
      </w:r>
      <w:r>
        <w:rPr>
          <w:sz w:val="21"/>
          <w:szCs w:val="21"/>
        </w:rPr>
        <w:t>Bologna Process</w:t>
      </w:r>
      <w:r>
        <w:rPr>
          <w:rFonts w:hint="eastAsia"/>
          <w:sz w:val="21"/>
          <w:szCs w:val="21"/>
        </w:rPr>
        <w:t>），在这一进程的推动下，意大利政府增加了高等教育的人均拨款，同时改变了以往的教育经费分配形式，在新政策的引导下，意大利高等教育开始形成一个更加自主和更具竞争力的国际化教育系统。</w:t>
      </w:r>
    </w:p>
    <w:p>
      <w:pPr>
        <w:pStyle w:val="12"/>
        <w:widowControl/>
        <w:spacing w:beforeAutospacing="0" w:afterAutospacing="0"/>
        <w:ind w:firstLine="420"/>
        <w:rPr>
          <w:b/>
          <w:color w:val="0000FF"/>
          <w:sz w:val="21"/>
          <w:szCs w:val="21"/>
        </w:rPr>
      </w:pPr>
      <w:r>
        <w:rPr>
          <w:sz w:val="21"/>
        </w:rPr>
        <w:pict>
          <v:line id="_x0000_s1026" o:spid="_x0000_s1026" o:spt="20" style="position:absolute;left:0pt;margin-left:-0.8pt;margin-top:31.15pt;height:0pt;width:417.4pt;z-index:251745280;mso-width-relative:page;mso-height-relative:page;" stroked="t" coordsize="21600,21600" o:gfxdata="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31fX2AAAAAgBAAAPAAAAAAAAAAEAIAAAACIAAABkcnMvZG93bnJldi54bWxQSwECFAAUAAAACACH&#10;TuJAf1dVD+sBAACTAwAADgAAAAAAAAABACAAAAAnAQAAZHJzL2Uyb0RvYy54bWxQSwUGAAAAAAYA&#10;BgBZAQAAhAUAAAAA&#10;">
            <v:path arrowok="t"/>
            <v:fill focussize="0,0"/>
            <v:stroke color="#4A7EBB"/>
            <v:imagedata o:title=""/>
            <o:lock v:ext="edit"/>
          </v:line>
        </w:pict>
      </w:r>
      <w:r>
        <w:rPr>
          <w:b/>
          <w:color w:val="0000FF"/>
          <w:sz w:val="21"/>
          <w:szCs w:val="21"/>
        </w:rPr>
        <w:t>（五号宋体）（引言通常不分段，引言应以简短的篇幅介绍论文的写作背景和目的等，摘要、引言、结语不能雷同）</w:t>
      </w:r>
    </w:p>
    <w:p>
      <w:pPr>
        <w:pStyle w:val="12"/>
        <w:widowControl/>
        <w:spacing w:beforeAutospacing="0" w:afterAutospacing="0"/>
        <w:ind w:firstLine="360"/>
        <w:rPr>
          <w:color w:val="000000"/>
          <w:sz w:val="18"/>
          <w:szCs w:val="18"/>
        </w:rPr>
      </w:pPr>
      <w:r>
        <w:rPr>
          <w:color w:val="000000"/>
          <w:sz w:val="18"/>
          <w:szCs w:val="18"/>
        </w:rPr>
        <w:t>基金项目：“十</w:t>
      </w:r>
      <w:r>
        <w:rPr>
          <w:rFonts w:hint="eastAsia"/>
          <w:color w:val="000000"/>
          <w:sz w:val="18"/>
          <w:szCs w:val="18"/>
        </w:rPr>
        <w:t>三</w:t>
      </w:r>
      <w:r>
        <w:rPr>
          <w:color w:val="000000"/>
          <w:sz w:val="18"/>
          <w:szCs w:val="18"/>
        </w:rPr>
        <w:t>五”科技支撑计划项目(201</w:t>
      </w:r>
      <w:r>
        <w:rPr>
          <w:rFonts w:hint="eastAsia"/>
          <w:color w:val="000000"/>
          <w:sz w:val="18"/>
          <w:szCs w:val="18"/>
        </w:rPr>
        <w:t>6</w:t>
      </w:r>
      <w:r>
        <w:rPr>
          <w:color w:val="000000"/>
          <w:sz w:val="18"/>
          <w:szCs w:val="18"/>
        </w:rPr>
        <w:t>BAK10B055)；质监总局公益项目(2011IK260)</w:t>
      </w:r>
    </w:p>
    <w:p>
      <w:pPr>
        <w:pStyle w:val="12"/>
        <w:widowControl/>
        <w:spacing w:beforeAutospacing="0" w:afterAutospacing="0"/>
        <w:ind w:firstLine="360"/>
        <w:rPr>
          <w:color w:val="000000"/>
          <w:sz w:val="18"/>
          <w:szCs w:val="18"/>
        </w:rPr>
      </w:pPr>
      <w:r>
        <w:rPr>
          <w:color w:val="000000"/>
          <w:sz w:val="18"/>
          <w:szCs w:val="18"/>
        </w:rPr>
        <w:t xml:space="preserve">作者简介：XXX（1975—），男，博士，副教授，研究方向：家具理论，E-mail: 通讯作者：XXX（1975—），男，博士，副教授，研究方向：家具理论，E-mail: </w:t>
      </w:r>
    </w:p>
    <w:p>
      <w:pPr>
        <w:pStyle w:val="12"/>
        <w:widowControl/>
        <w:spacing w:beforeAutospacing="0" w:afterAutospacing="0"/>
        <w:ind w:firstLine="361"/>
        <w:rPr>
          <w:b/>
          <w:color w:val="0000FF"/>
          <w:sz w:val="18"/>
          <w:szCs w:val="18"/>
        </w:rPr>
      </w:pPr>
      <w:r>
        <w:rPr>
          <w:b/>
          <w:color w:val="0000FF"/>
          <w:sz w:val="18"/>
          <w:szCs w:val="18"/>
        </w:rPr>
        <w:t>（通讯作者并不是一定需要，根据文章自身情况来确定）</w:t>
      </w:r>
    </w:p>
    <w:p>
      <w:pPr>
        <w:pStyle w:val="12"/>
        <w:widowControl/>
        <w:spacing w:beforeAutospacing="0" w:afterAutospacing="0"/>
        <w:ind w:firstLine="422"/>
        <w:rPr>
          <w:b/>
          <w:color w:val="0000FF"/>
          <w:sz w:val="21"/>
          <w:szCs w:val="21"/>
        </w:rPr>
      </w:pPr>
      <w:r>
        <w:rPr>
          <w:b/>
          <w:color w:val="FF0000"/>
          <w:sz w:val="21"/>
          <w:szCs w:val="21"/>
        </w:rPr>
        <w:t>1 一级标题</w:t>
      </w:r>
      <w:r>
        <w:rPr>
          <w:b/>
          <w:color w:val="0000FF"/>
          <w:sz w:val="21"/>
          <w:szCs w:val="21"/>
        </w:rPr>
        <w:t>（文章的小标题不能带标点符号，不能超过 20 个字，小标题的写法属偏正短语,要求简洁）</w:t>
      </w:r>
    </w:p>
    <w:p>
      <w:pPr>
        <w:ind w:firstLine="420"/>
        <w:rPr>
          <w:sz w:val="21"/>
          <w:szCs w:val="21"/>
        </w:rPr>
      </w:pPr>
      <w:r>
        <w:rPr>
          <w:rFonts w:hint="eastAsia"/>
          <w:sz w:val="21"/>
          <w:szCs w:val="21"/>
        </w:rPr>
        <w:t>每年米兰理工大学获得意大利政府最多的教育经费，其中设计学院所开设的专业都是意大利制造在全球市场最有竞争力的领域，包括工业设计、时尚设计、建筑设计、室内设计、家具设计等领域都是“意大利设计”和“意大利制造”在全球最引以为傲的领域。作为意大利政府整合国际设计教育资源，打造国际设计教育促进体系的先锋，米兰理工大学一直引领着意大利设计教育的国际化趋势，成为众多意大利设计高校国际化办学的风向标。</w:t>
      </w:r>
    </w:p>
    <w:p>
      <w:pPr>
        <w:pStyle w:val="12"/>
        <w:widowControl/>
        <w:spacing w:beforeAutospacing="0" w:afterAutospacing="0"/>
        <w:ind w:firstLine="422"/>
        <w:rPr>
          <w:b/>
          <w:color w:val="FF0000"/>
          <w:sz w:val="21"/>
          <w:szCs w:val="21"/>
        </w:rPr>
      </w:pPr>
      <w:r>
        <w:rPr>
          <w:rFonts w:hint="eastAsia"/>
          <w:b/>
          <w:color w:val="FF0000"/>
          <w:sz w:val="21"/>
          <w:szCs w:val="21"/>
        </w:rPr>
        <w:t>1</w:t>
      </w:r>
      <w:r>
        <w:rPr>
          <w:b/>
          <w:color w:val="FF0000"/>
          <w:sz w:val="21"/>
          <w:szCs w:val="21"/>
        </w:rPr>
        <w:t>.1 二级标题</w:t>
      </w:r>
    </w:p>
    <w:p>
      <w:pPr>
        <w:ind w:firstLine="420"/>
        <w:rPr>
          <w:sz w:val="21"/>
          <w:szCs w:val="21"/>
        </w:rPr>
      </w:pPr>
      <w:r>
        <w:rPr>
          <w:rFonts w:hint="eastAsia"/>
          <w:sz w:val="21"/>
          <w:szCs w:val="21"/>
        </w:rPr>
        <w:t>为了加强欧洲各国之间的人员流动和文化的相互融合，1987年欧洲各国成立了一个学生交换项目——“伊拉斯莫（</w:t>
      </w:r>
      <w:r>
        <w:rPr>
          <w:bCs/>
          <w:sz w:val="21"/>
          <w:szCs w:val="21"/>
        </w:rPr>
        <w:t>Erasmus Programme</w:t>
      </w:r>
      <w:r>
        <w:rPr>
          <w:rFonts w:hint="eastAsia"/>
          <w:sz w:val="21"/>
          <w:szCs w:val="21"/>
        </w:rPr>
        <w:t>）”计划。</w:t>
      </w:r>
      <w:r>
        <w:rPr>
          <w:rFonts w:hint="eastAsia"/>
          <w:sz w:val="21"/>
          <w:szCs w:val="21"/>
          <w:vertAlign w:val="superscript"/>
        </w:rPr>
        <w:t>[4]</w:t>
      </w:r>
      <w:r>
        <w:rPr>
          <w:rFonts w:hint="eastAsia"/>
          <w:sz w:val="21"/>
          <w:szCs w:val="21"/>
        </w:rPr>
        <w:t>米兰理工大学成为该计划最早的参与者和实践者，2014年该计划发展成为了伊拉斯莫+（Erasmus+）计划，其国际版本扩展为“伊拉斯莫”世界计划，该计划使欧洲大学的国际化进程进一步加速，成为推动欧洲大学国际化的一个重要措施。目前米兰理工大学设计学院在本科、硕士和博士三个层级上深入参与了这个计划，依托于该计划学校不仅加强了与欧洲各设计类院校的交流与合作，更拓展了学院与北美、亚洲、非洲国家等大学的合作办学与国际交流。例如，</w:t>
      </w:r>
      <w:r>
        <w:rPr>
          <w:sz w:val="21"/>
          <w:szCs w:val="21"/>
        </w:rPr>
        <w:t>意大利政府</w:t>
      </w:r>
      <w:r>
        <w:rPr>
          <w:rFonts w:hint="eastAsia"/>
          <w:sz w:val="21"/>
          <w:szCs w:val="21"/>
        </w:rPr>
        <w:t>和中国政府</w:t>
      </w:r>
      <w:r>
        <w:rPr>
          <w:sz w:val="21"/>
          <w:szCs w:val="21"/>
        </w:rPr>
        <w:t>先后</w:t>
      </w:r>
      <w:r>
        <w:rPr>
          <w:rFonts w:hint="eastAsia"/>
          <w:sz w:val="21"/>
          <w:szCs w:val="21"/>
        </w:rPr>
        <w:t>在</w:t>
      </w:r>
      <w:r>
        <w:rPr>
          <w:sz w:val="21"/>
          <w:szCs w:val="21"/>
        </w:rPr>
        <w:t>2006年和2009年</w:t>
      </w:r>
      <w:r>
        <w:rPr>
          <w:rFonts w:hint="eastAsia"/>
          <w:sz w:val="21"/>
          <w:szCs w:val="21"/>
        </w:rPr>
        <w:t>签订了“</w:t>
      </w:r>
      <w:r>
        <w:rPr>
          <w:sz w:val="21"/>
          <w:szCs w:val="21"/>
        </w:rPr>
        <w:t>马可·波罗计划</w:t>
      </w:r>
      <w:r>
        <w:rPr>
          <w:rFonts w:hint="eastAsia"/>
          <w:sz w:val="21"/>
          <w:szCs w:val="21"/>
        </w:rPr>
        <w:t>（</w:t>
      </w:r>
      <w:r>
        <w:rPr>
          <w:sz w:val="21"/>
          <w:szCs w:val="21"/>
        </w:rPr>
        <w:t>Progetto Marco Polo</w:t>
      </w:r>
      <w:r>
        <w:rPr>
          <w:rFonts w:hint="eastAsia"/>
          <w:sz w:val="21"/>
          <w:szCs w:val="21"/>
        </w:rPr>
        <w:t>）”</w:t>
      </w:r>
      <w:r>
        <w:rPr>
          <w:sz w:val="21"/>
          <w:szCs w:val="21"/>
        </w:rPr>
        <w:t>与</w:t>
      </w:r>
      <w:r>
        <w:rPr>
          <w:rFonts w:hint="eastAsia"/>
          <w:sz w:val="21"/>
          <w:szCs w:val="21"/>
        </w:rPr>
        <w:t>“</w:t>
      </w:r>
      <w:r>
        <w:rPr>
          <w:sz w:val="21"/>
          <w:szCs w:val="21"/>
        </w:rPr>
        <w:t>图兰朵计划</w:t>
      </w:r>
      <w:r>
        <w:rPr>
          <w:rFonts w:hint="eastAsia"/>
          <w:sz w:val="21"/>
          <w:szCs w:val="21"/>
        </w:rPr>
        <w:t>（</w:t>
      </w:r>
      <w:r>
        <w:rPr>
          <w:sz w:val="21"/>
          <w:szCs w:val="21"/>
        </w:rPr>
        <w:t>Programma Turandot</w:t>
      </w:r>
      <w:r>
        <w:rPr>
          <w:rFonts w:hint="eastAsia"/>
          <w:sz w:val="21"/>
          <w:szCs w:val="21"/>
        </w:rPr>
        <w:t>）”两个国际高等教育合作项目</w:t>
      </w:r>
      <w:r>
        <w:rPr>
          <w:sz w:val="21"/>
          <w:szCs w:val="21"/>
        </w:rPr>
        <w:t>，</w:t>
      </w:r>
      <w:r>
        <w:rPr>
          <w:rFonts w:hint="eastAsia"/>
          <w:sz w:val="21"/>
          <w:szCs w:val="21"/>
        </w:rPr>
        <w:t>通过这两个项目米兰理工大学从中国招收了大量的留学生，特别是针对艺术、音乐和设计专业的“</w:t>
      </w:r>
      <w:r>
        <w:rPr>
          <w:sz w:val="21"/>
          <w:szCs w:val="21"/>
        </w:rPr>
        <w:t>图兰朵计划</w:t>
      </w:r>
      <w:r>
        <w:rPr>
          <w:rFonts w:hint="eastAsia"/>
          <w:sz w:val="21"/>
          <w:szCs w:val="21"/>
        </w:rPr>
        <w:t>”使中国赴意留学生数量出现了井喷式的发展。可见立足本国优势学科、专业与留学生源大国建立特定合作项目是促进设计教育国际化的最有效手段。</w:t>
      </w:r>
    </w:p>
    <w:p>
      <w:pPr>
        <w:pStyle w:val="12"/>
        <w:widowControl/>
        <w:spacing w:beforeAutospacing="0" w:afterAutospacing="0"/>
        <w:ind w:firstLine="422"/>
        <w:rPr>
          <w:b/>
          <w:color w:val="FF0000"/>
          <w:sz w:val="21"/>
          <w:szCs w:val="21"/>
        </w:rPr>
      </w:pPr>
      <w:r>
        <w:rPr>
          <w:rFonts w:hint="eastAsia"/>
          <w:b/>
          <w:color w:val="FF0000"/>
          <w:sz w:val="21"/>
          <w:szCs w:val="21"/>
        </w:rPr>
        <w:t>1</w:t>
      </w:r>
      <w:r>
        <w:rPr>
          <w:b/>
          <w:color w:val="FF0000"/>
          <w:sz w:val="21"/>
          <w:szCs w:val="21"/>
        </w:rPr>
        <w:t>.</w:t>
      </w:r>
      <w:r>
        <w:rPr>
          <w:rFonts w:hint="eastAsia"/>
          <w:b/>
          <w:color w:val="FF0000"/>
          <w:sz w:val="21"/>
          <w:szCs w:val="21"/>
        </w:rPr>
        <w:t>2</w:t>
      </w:r>
      <w:r>
        <w:rPr>
          <w:b/>
          <w:color w:val="FF0000"/>
          <w:sz w:val="21"/>
          <w:szCs w:val="21"/>
        </w:rPr>
        <w:t xml:space="preserve"> 二级标题</w:t>
      </w:r>
    </w:p>
    <w:p>
      <w:pPr>
        <w:ind w:firstLine="420"/>
        <w:rPr>
          <w:sz w:val="21"/>
          <w:szCs w:val="21"/>
        </w:rPr>
      </w:pPr>
      <w:r>
        <w:rPr>
          <w:rFonts w:hint="eastAsia"/>
          <w:sz w:val="21"/>
          <w:szCs w:val="21"/>
        </w:rPr>
        <w:t>由于身处南欧的特殊地理位置，意大利一直在连接欧洲和地中海地区的政治和经济活动中发挥着重要的影响力。</w:t>
      </w:r>
      <w:r>
        <w:rPr>
          <w:rFonts w:hint="eastAsia"/>
          <w:color w:val="FF0000"/>
          <w:sz w:val="21"/>
          <w:szCs w:val="21"/>
          <w:vertAlign w:val="superscript"/>
        </w:rPr>
        <w:t>[6]</w:t>
      </w:r>
      <w:r>
        <w:rPr>
          <w:rFonts w:hint="eastAsia"/>
          <w:sz w:val="21"/>
          <w:szCs w:val="21"/>
        </w:rPr>
        <w:t>意大利政府与欧洲和地中海国家开展“一体化学习计划”</w:t>
      </w:r>
      <w:r>
        <w:rPr>
          <w:sz w:val="21"/>
          <w:szCs w:val="21"/>
        </w:rPr>
        <w:t>，</w:t>
      </w:r>
      <w:r>
        <w:rPr>
          <w:rFonts w:hint="eastAsia"/>
          <w:sz w:val="21"/>
          <w:szCs w:val="21"/>
        </w:rPr>
        <w:t>通过这个计划成员国之间进行学历互认，并颁发联合学位。意大利教育、大学与研究部（</w:t>
      </w:r>
      <w:r>
        <w:rPr>
          <w:sz w:val="21"/>
          <w:szCs w:val="21"/>
        </w:rPr>
        <w:t>MINISTRY OF EDUCATION, UNIVERSITY AND RESEARCH</w:t>
      </w:r>
      <w:r>
        <w:rPr>
          <w:rFonts w:hint="eastAsia"/>
          <w:sz w:val="21"/>
          <w:szCs w:val="21"/>
        </w:rPr>
        <w:t>）主要资助三个类型的教育合作计划：一是根据已经签订的协议，在互利互惠的原则上，共同制定的第一级硕士学位、第二级硕士学位以及博士学位课程培养计划，吸引更多国家的师生参与其中；二是与其它国家开展联合办学，同时向国际上推广意大利教育模式；三是加强与欧洲国家以及其它国家间的学历认证等合作计划。这些资助计划和政策为米兰理工大学提供了充足的资金，也使米兰理工大学成为意大利政府推动教育国际化的坚定执行者。</w:t>
      </w:r>
    </w:p>
    <w:p>
      <w:pPr>
        <w:pStyle w:val="12"/>
        <w:widowControl/>
        <w:spacing w:beforeAutospacing="0" w:afterAutospacing="0"/>
        <w:ind w:firstLine="422"/>
        <w:rPr>
          <w:b/>
          <w:color w:val="FF0000"/>
          <w:sz w:val="21"/>
          <w:szCs w:val="21"/>
        </w:rPr>
      </w:pPr>
      <w:r>
        <w:rPr>
          <w:rFonts w:hint="eastAsia"/>
          <w:b/>
          <w:color w:val="FF0000"/>
          <w:sz w:val="21"/>
          <w:szCs w:val="21"/>
        </w:rPr>
        <w:t>1</w:t>
      </w:r>
      <w:r>
        <w:rPr>
          <w:b/>
          <w:color w:val="FF0000"/>
          <w:sz w:val="21"/>
          <w:szCs w:val="21"/>
        </w:rPr>
        <w:t>.</w:t>
      </w:r>
      <w:r>
        <w:rPr>
          <w:rFonts w:hint="eastAsia"/>
          <w:b/>
          <w:color w:val="FF0000"/>
          <w:sz w:val="21"/>
          <w:szCs w:val="21"/>
        </w:rPr>
        <w:t>3</w:t>
      </w:r>
      <w:r>
        <w:rPr>
          <w:b/>
          <w:color w:val="FF0000"/>
          <w:sz w:val="21"/>
          <w:szCs w:val="21"/>
        </w:rPr>
        <w:t xml:space="preserve"> 二级标题</w:t>
      </w:r>
    </w:p>
    <w:p>
      <w:pPr>
        <w:ind w:firstLine="420"/>
        <w:rPr>
          <w:sz w:val="21"/>
          <w:szCs w:val="21"/>
        </w:rPr>
      </w:pPr>
      <w:r>
        <w:rPr>
          <w:rFonts w:hint="eastAsia"/>
          <w:sz w:val="21"/>
          <w:szCs w:val="21"/>
        </w:rPr>
        <w:t>政治与经济是促进国际教育发展的根本动力。</w:t>
      </w:r>
      <w:r>
        <w:rPr>
          <w:sz w:val="21"/>
          <w:szCs w:val="21"/>
        </w:rPr>
        <w:t>为了</w:t>
      </w:r>
      <w:r>
        <w:rPr>
          <w:rFonts w:hint="eastAsia"/>
          <w:sz w:val="21"/>
          <w:szCs w:val="21"/>
        </w:rPr>
        <w:t>保持作为国际顶尖的设计大学，米兰理工大学加入了欧洲及全球各大科技、设计大学的交流网络，同时不断增加留学生的课程选择。为了增强在科研和教学领域的国际交流，学校与很多国家在设计相关领域有着广泛的合作，例如：教学、研究、技术转让、师生交换、专题讲座、职业培训等。</w:t>
      </w:r>
    </w:p>
    <w:p>
      <w:pPr>
        <w:ind w:firstLine="420"/>
        <w:rPr>
          <w:sz w:val="21"/>
          <w:szCs w:val="21"/>
        </w:rPr>
      </w:pPr>
      <w:r>
        <w:rPr>
          <w:rFonts w:hint="eastAsia"/>
          <w:sz w:val="21"/>
          <w:szCs w:val="21"/>
        </w:rPr>
        <w:t>随着米兰理工大学与中国高校合作的增多，米兰理工大学出现了应接不暇的现象。这反映出近年来随着综合国力的提升，中国高校的国际化出现了快速发展势头，但是我们也应注意到目前的很多中意国际合作仍然停留在中国向意大利输出生源，意大利向中国输出师资和技术的层面，没有进入双方互相学习层面。中国设计教育的国际化不应是形式化的考察和意向合作协议，更应该是以切实提升中国设计教育水平为基础，促进中国设计教育国际化的健康发展。</w:t>
      </w:r>
    </w:p>
    <w:p>
      <w:pPr>
        <w:ind w:firstLine="422"/>
        <w:rPr>
          <w:b/>
          <w:color w:val="FF0000"/>
          <w:sz w:val="21"/>
          <w:szCs w:val="21"/>
        </w:rPr>
      </w:pPr>
      <w:r>
        <w:rPr>
          <w:b/>
          <w:color w:val="FF0000"/>
          <w:sz w:val="21"/>
          <w:szCs w:val="21"/>
        </w:rPr>
        <w:t>1 一级标题</w:t>
      </w:r>
    </w:p>
    <w:p>
      <w:pPr>
        <w:ind w:firstLine="420"/>
        <w:rPr>
          <w:sz w:val="21"/>
          <w:szCs w:val="21"/>
        </w:rPr>
      </w:pPr>
      <w:r>
        <w:rPr>
          <w:rFonts w:hint="eastAsia"/>
          <w:sz w:val="21"/>
          <w:szCs w:val="21"/>
        </w:rPr>
        <w:t>米兰理工大学依托米兰市（</w:t>
      </w:r>
      <w:r>
        <w:rPr>
          <w:sz w:val="21"/>
          <w:szCs w:val="21"/>
        </w:rPr>
        <w:t>Milan</w:t>
      </w:r>
      <w:r>
        <w:rPr>
          <w:rFonts w:hint="eastAsia"/>
          <w:sz w:val="21"/>
          <w:szCs w:val="21"/>
        </w:rPr>
        <w:t>）这一国际设计之都和时尚之都，打造了国际领先的设计教育软硬件环境，并建立了科学、高效和可持续发展的国际设计教育体系。</w:t>
      </w:r>
    </w:p>
    <w:p>
      <w:pPr>
        <w:pStyle w:val="12"/>
        <w:widowControl/>
        <w:spacing w:beforeAutospacing="0" w:afterAutospacing="0"/>
        <w:ind w:firstLine="422"/>
        <w:rPr>
          <w:b/>
          <w:color w:val="FF0000"/>
          <w:sz w:val="21"/>
          <w:szCs w:val="21"/>
        </w:rPr>
      </w:pPr>
      <w:r>
        <w:rPr>
          <w:rFonts w:hint="eastAsia"/>
          <w:b/>
          <w:color w:val="FF0000"/>
          <w:sz w:val="21"/>
          <w:szCs w:val="21"/>
        </w:rPr>
        <w:t>2.1</w:t>
      </w:r>
      <w:r>
        <w:rPr>
          <w:b/>
          <w:color w:val="FF0000"/>
          <w:sz w:val="21"/>
          <w:szCs w:val="21"/>
        </w:rPr>
        <w:t xml:space="preserve"> 二级标题</w:t>
      </w:r>
    </w:p>
    <w:p>
      <w:pPr>
        <w:ind w:firstLine="420"/>
        <w:rPr>
          <w:kern w:val="0"/>
          <w:sz w:val="21"/>
          <w:szCs w:val="21"/>
        </w:rPr>
      </w:pPr>
      <w:r>
        <w:rPr>
          <w:rFonts w:hint="eastAsia"/>
          <w:kern w:val="0"/>
          <w:sz w:val="21"/>
          <w:szCs w:val="21"/>
        </w:rPr>
        <w:t>米兰理工大学所在地米兰市是意大利的经济商业中心城市，人均收入居欧洲前列，是意大利最有影响力的城市之一，是欧洲最发达的工业区之一，也是世界著名的时尚之都、设计之都。</w:t>
      </w:r>
      <w:r>
        <w:rPr>
          <w:rFonts w:hint="eastAsia"/>
          <w:color w:val="FF0000"/>
          <w:sz w:val="21"/>
          <w:szCs w:val="21"/>
          <w:vertAlign w:val="superscript"/>
        </w:rPr>
        <w:t>[11]</w:t>
      </w:r>
      <w:r>
        <w:rPr>
          <w:rFonts w:hint="eastAsia"/>
          <w:kern w:val="0"/>
          <w:sz w:val="21"/>
          <w:szCs w:val="21"/>
        </w:rPr>
        <w:t>米兰理工大学与当地以及国际上的众多企业、机构开展了广泛的合作，</w:t>
      </w:r>
      <w:r>
        <w:rPr>
          <w:rFonts w:hint="eastAsia"/>
          <w:sz w:val="21"/>
          <w:szCs w:val="21"/>
        </w:rPr>
        <w:t>打造了高水平的国际设计教育体系</w:t>
      </w:r>
      <w:r>
        <w:rPr>
          <w:rFonts w:hint="eastAsia"/>
          <w:kern w:val="0"/>
          <w:sz w:val="21"/>
          <w:szCs w:val="21"/>
        </w:rPr>
        <w:t>。在意大利高水平的设计类大学往往都位于经济中心城市和工业聚集区，例如</w:t>
      </w:r>
      <w:r>
        <w:rPr>
          <w:rFonts w:hint="eastAsia"/>
          <w:sz w:val="21"/>
          <w:szCs w:val="21"/>
        </w:rPr>
        <w:t>米兰（Milan）、都灵（</w:t>
      </w:r>
      <w:r>
        <w:rPr>
          <w:sz w:val="21"/>
          <w:szCs w:val="21"/>
        </w:rPr>
        <w:t>Turin</w:t>
      </w:r>
      <w:r>
        <w:rPr>
          <w:rFonts w:hint="eastAsia"/>
          <w:sz w:val="21"/>
          <w:szCs w:val="21"/>
        </w:rPr>
        <w:t>）、罗马（</w:t>
      </w:r>
      <w:r>
        <w:rPr>
          <w:sz w:val="21"/>
          <w:szCs w:val="21"/>
        </w:rPr>
        <w:t>Rome</w:t>
      </w:r>
      <w:r>
        <w:rPr>
          <w:rFonts w:hint="eastAsia"/>
          <w:sz w:val="21"/>
          <w:szCs w:val="21"/>
        </w:rPr>
        <w:t>）和热那亚（</w:t>
      </w:r>
      <w:r>
        <w:rPr>
          <w:sz w:val="21"/>
          <w:szCs w:val="21"/>
        </w:rPr>
        <w:t>Genoa</w:t>
      </w:r>
      <w:r>
        <w:rPr>
          <w:rFonts w:hint="eastAsia"/>
          <w:sz w:val="21"/>
          <w:szCs w:val="21"/>
        </w:rPr>
        <w:t>）</w:t>
      </w:r>
      <w:r>
        <w:rPr>
          <w:rFonts w:hint="eastAsia"/>
          <w:kern w:val="0"/>
          <w:sz w:val="21"/>
          <w:szCs w:val="21"/>
        </w:rPr>
        <w:t>等城市（图1）。</w:t>
      </w:r>
    </w:p>
    <w:p>
      <w:pPr>
        <w:ind w:firstLine="480"/>
        <w:rPr>
          <w:rFonts w:ascii="宋体" w:hAnsi="宋体" w:cs="宋体"/>
          <w:szCs w:val="24"/>
        </w:rPr>
      </w:pPr>
      <w:r>
        <w:rPr>
          <w:rFonts w:ascii="宋体" w:hAnsi="宋体" w:cs="宋体"/>
          <w:szCs w:val="24"/>
        </w:rPr>
        <w:drawing>
          <wp:anchor distT="0" distB="0" distL="114300" distR="114300" simplePos="0" relativeHeight="251746304" behindDoc="0" locked="0" layoutInCell="1" allowOverlap="1">
            <wp:simplePos x="0" y="0"/>
            <wp:positionH relativeFrom="column">
              <wp:posOffset>1146810</wp:posOffset>
            </wp:positionH>
            <wp:positionV relativeFrom="paragraph">
              <wp:posOffset>104140</wp:posOffset>
            </wp:positionV>
            <wp:extent cx="2970530" cy="1733550"/>
            <wp:effectExtent l="0" t="0" r="1270" b="0"/>
            <wp:wrapNone/>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10" cstate="print"/>
                    <a:srcRect b="6789"/>
                    <a:stretch>
                      <a:fillRect/>
                    </a:stretch>
                  </pic:blipFill>
                  <pic:spPr>
                    <a:xfrm>
                      <a:off x="0" y="0"/>
                      <a:ext cx="2970530" cy="1733550"/>
                    </a:xfrm>
                    <a:prstGeom prst="rect">
                      <a:avLst/>
                    </a:prstGeom>
                    <a:noFill/>
                    <a:ln w="9525">
                      <a:noFill/>
                    </a:ln>
                  </pic:spPr>
                </pic:pic>
              </a:graphicData>
            </a:graphic>
          </wp:anchor>
        </w:drawing>
      </w:r>
    </w:p>
    <w:p>
      <w:pPr>
        <w:ind w:firstLine="420"/>
        <w:rPr>
          <w:kern w:val="0"/>
          <w:sz w:val="21"/>
          <w:szCs w:val="21"/>
        </w:rPr>
      </w:pPr>
    </w:p>
    <w:p>
      <w:pPr>
        <w:ind w:firstLine="420"/>
        <w:rPr>
          <w:kern w:val="0"/>
          <w:sz w:val="21"/>
          <w:szCs w:val="21"/>
        </w:rPr>
      </w:pPr>
    </w:p>
    <w:p>
      <w:pPr>
        <w:ind w:firstLine="420"/>
        <w:rPr>
          <w:kern w:val="0"/>
          <w:sz w:val="21"/>
          <w:szCs w:val="21"/>
        </w:rPr>
      </w:pPr>
    </w:p>
    <w:p>
      <w:pPr>
        <w:ind w:firstLine="420"/>
        <w:rPr>
          <w:kern w:val="0"/>
          <w:sz w:val="21"/>
          <w:szCs w:val="21"/>
        </w:rPr>
      </w:pPr>
    </w:p>
    <w:p>
      <w:pPr>
        <w:ind w:firstLine="420"/>
        <w:rPr>
          <w:kern w:val="0"/>
          <w:sz w:val="21"/>
          <w:szCs w:val="21"/>
        </w:rPr>
      </w:pPr>
    </w:p>
    <w:p>
      <w:pPr>
        <w:ind w:firstLine="420"/>
        <w:rPr>
          <w:kern w:val="0"/>
          <w:sz w:val="21"/>
          <w:szCs w:val="21"/>
        </w:rPr>
      </w:pPr>
    </w:p>
    <w:p>
      <w:pPr>
        <w:ind w:firstLine="420"/>
        <w:rPr>
          <w:kern w:val="0"/>
          <w:sz w:val="21"/>
          <w:szCs w:val="21"/>
        </w:rPr>
      </w:pPr>
    </w:p>
    <w:p>
      <w:pPr>
        <w:ind w:firstLine="420"/>
        <w:rPr>
          <w:kern w:val="0"/>
          <w:sz w:val="21"/>
          <w:szCs w:val="21"/>
        </w:rPr>
      </w:pPr>
    </w:p>
    <w:p>
      <w:pPr>
        <w:ind w:firstLine="420"/>
        <w:rPr>
          <w:kern w:val="0"/>
          <w:sz w:val="21"/>
          <w:szCs w:val="21"/>
        </w:rPr>
      </w:pPr>
    </w:p>
    <w:p>
      <w:pPr>
        <w:ind w:firstLine="420"/>
        <w:jc w:val="center"/>
        <w:rPr>
          <w:kern w:val="0"/>
          <w:sz w:val="21"/>
          <w:szCs w:val="21"/>
        </w:rPr>
      </w:pPr>
      <w:r>
        <w:rPr>
          <w:rFonts w:hint="eastAsia"/>
          <w:kern w:val="0"/>
          <w:sz w:val="21"/>
          <w:szCs w:val="21"/>
        </w:rPr>
        <w:t>图1XXXXXXXXXXXXXXXXX</w:t>
      </w:r>
    </w:p>
    <w:p>
      <w:pPr>
        <w:pStyle w:val="12"/>
        <w:widowControl/>
        <w:spacing w:beforeAutospacing="0" w:afterAutospacing="0"/>
        <w:ind w:firstLine="422"/>
        <w:rPr>
          <w:b/>
          <w:color w:val="FF0000"/>
          <w:sz w:val="21"/>
          <w:szCs w:val="21"/>
        </w:rPr>
      </w:pPr>
      <w:r>
        <w:rPr>
          <w:rFonts w:hint="eastAsia"/>
          <w:b/>
          <w:color w:val="FF0000"/>
          <w:sz w:val="21"/>
          <w:szCs w:val="21"/>
        </w:rPr>
        <w:t>3.1</w:t>
      </w:r>
      <w:r>
        <w:rPr>
          <w:b/>
          <w:color w:val="FF0000"/>
          <w:sz w:val="21"/>
          <w:szCs w:val="21"/>
        </w:rPr>
        <w:t xml:space="preserve"> 二级标题</w:t>
      </w:r>
    </w:p>
    <w:p>
      <w:pPr>
        <w:ind w:firstLine="420"/>
        <w:rPr>
          <w:sz w:val="21"/>
          <w:szCs w:val="21"/>
        </w:rPr>
      </w:pPr>
      <w:r>
        <w:rPr>
          <w:rFonts w:hint="eastAsia"/>
          <w:sz w:val="21"/>
          <w:szCs w:val="21"/>
        </w:rPr>
        <w:t>学术</w:t>
      </w:r>
      <w:r>
        <w:rPr>
          <w:sz w:val="21"/>
          <w:szCs w:val="21"/>
        </w:rPr>
        <w:t>策略</w:t>
      </w:r>
      <w:r>
        <w:rPr>
          <w:rFonts w:hint="eastAsia"/>
          <w:sz w:val="21"/>
          <w:szCs w:val="21"/>
        </w:rPr>
        <w:t>的国际化主要是提供国际化的教学师资</w:t>
      </w:r>
      <w:r>
        <w:rPr>
          <w:sz w:val="21"/>
          <w:szCs w:val="21"/>
        </w:rPr>
        <w:t>，它旨在</w:t>
      </w:r>
      <w:r>
        <w:rPr>
          <w:rFonts w:hint="eastAsia"/>
          <w:sz w:val="21"/>
          <w:szCs w:val="21"/>
        </w:rPr>
        <w:t>为硕士和博士教学提供更好的师资</w:t>
      </w:r>
      <w:r>
        <w:rPr>
          <w:sz w:val="21"/>
          <w:szCs w:val="21"/>
        </w:rPr>
        <w:t>。</w:t>
      </w:r>
      <w:r>
        <w:rPr>
          <w:rFonts w:hint="eastAsia"/>
          <w:sz w:val="21"/>
          <w:szCs w:val="21"/>
        </w:rPr>
        <w:t>最初，学术策略的</w:t>
      </w:r>
      <w:r>
        <w:rPr>
          <w:sz w:val="21"/>
          <w:szCs w:val="21"/>
        </w:rPr>
        <w:t>国际化重点放在硕士和博士</w:t>
      </w:r>
      <w:r>
        <w:rPr>
          <w:rFonts w:hint="eastAsia"/>
          <w:sz w:val="21"/>
          <w:szCs w:val="21"/>
        </w:rPr>
        <w:t>的</w:t>
      </w:r>
      <w:r>
        <w:rPr>
          <w:sz w:val="21"/>
          <w:szCs w:val="21"/>
        </w:rPr>
        <w:t>学位课程</w:t>
      </w:r>
      <w:r>
        <w:rPr>
          <w:rFonts w:hint="eastAsia"/>
          <w:sz w:val="21"/>
          <w:szCs w:val="21"/>
        </w:rPr>
        <w:t>上</w:t>
      </w:r>
      <w:r>
        <w:rPr>
          <w:sz w:val="21"/>
          <w:szCs w:val="21"/>
        </w:rPr>
        <w:t>，</w:t>
      </w:r>
      <w:r>
        <w:rPr>
          <w:rFonts w:hint="eastAsia"/>
          <w:sz w:val="21"/>
          <w:szCs w:val="21"/>
        </w:rPr>
        <w:t>但覆盖面并不大</w:t>
      </w:r>
      <w:r>
        <w:rPr>
          <w:sz w:val="21"/>
          <w:szCs w:val="21"/>
        </w:rPr>
        <w:t>。</w:t>
      </w:r>
      <w:r>
        <w:rPr>
          <w:rFonts w:hint="eastAsia"/>
          <w:sz w:val="21"/>
          <w:szCs w:val="21"/>
        </w:rPr>
        <w:t>在2005-2006年期间，米兰理工大学在管理工程、设计、科学计算工程等专业中开设了6个英语硕士课程。这样的英语课程试验首先在科莫和莱科两个较小的校区展开，这两个校区较少的教师和学生人数为试验提供了灵活性和可控性，使学校可以灵活应对由此而出现的新问题，同时为了鼓励意大利教师参与英语授课，学校出台了专门的财政激励政策。在2007—2008年期间，英语授课的校区扩大到米兰主校区，英语授课的数量大幅增加，国际硕士生的注册人数显著增长，在2010年至2011年期间，国际硕士生人数增长了10%（表1）。</w:t>
      </w:r>
    </w:p>
    <w:p>
      <w:pPr>
        <w:pStyle w:val="12"/>
        <w:widowControl/>
        <w:spacing w:beforeAutospacing="0" w:afterAutospacing="0"/>
        <w:ind w:firstLine="422"/>
        <w:rPr>
          <w:b/>
          <w:color w:val="0000FF"/>
          <w:sz w:val="21"/>
          <w:szCs w:val="21"/>
        </w:rPr>
      </w:pPr>
      <w:r>
        <w:rPr>
          <w:b/>
          <w:color w:val="0000FF"/>
          <w:sz w:val="21"/>
          <w:szCs w:val="21"/>
        </w:rPr>
        <w:t>（必须给文中所有的表和图加上图题，并在正文论述的相应地方标注上见表或见图 1、2、3、4……）</w:t>
      </w:r>
    </w:p>
    <w:p>
      <w:pPr>
        <w:ind w:firstLine="420"/>
        <w:rPr>
          <w:sz w:val="21"/>
          <w:szCs w:val="21"/>
        </w:rPr>
      </w:pPr>
    </w:p>
    <w:p>
      <w:pPr>
        <w:ind w:firstLine="0" w:firstLineChars="0"/>
        <w:jc w:val="left"/>
        <w:rPr>
          <w:bCs/>
          <w:sz w:val="21"/>
          <w:szCs w:val="21"/>
        </w:rPr>
      </w:pPr>
      <w:r>
        <w:rPr>
          <w:rFonts w:hint="eastAsia"/>
          <w:bCs/>
          <w:sz w:val="21"/>
          <w:szCs w:val="21"/>
        </w:rPr>
        <w:t>表1 2003-2011年米兰理工大学国际学生数量</w:t>
      </w:r>
    </w:p>
    <w:tbl>
      <w:tblPr>
        <w:tblStyle w:val="16"/>
        <w:tblW w:w="8522" w:type="dxa"/>
        <w:tblInd w:w="0" w:type="dxa"/>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trPr>
        <w:tc>
          <w:tcPr>
            <w:tcW w:w="8522" w:type="dxa"/>
            <w:tcBorders>
              <w:top w:val="single" w:color="4BACC6" w:themeColor="accent5" w:sz="8" w:space="0"/>
              <w:left w:val="nil"/>
              <w:bottom w:val="single" w:color="4BACC6" w:themeColor="accent5" w:sz="8" w:space="0"/>
              <w:right w:val="nil"/>
              <w:insideH w:val="single" w:sz="8" w:space="0"/>
              <w:insideV w:val="nil"/>
            </w:tcBorders>
          </w:tcPr>
          <w:p>
            <w:pPr>
              <w:spacing w:before="0" w:after="0" w:line="240" w:lineRule="auto"/>
              <w:ind w:firstLine="0" w:firstLineChars="0"/>
              <w:rPr>
                <w:b/>
                <w:bCs/>
                <w:color w:val="auto"/>
                <w:sz w:val="21"/>
                <w:szCs w:val="21"/>
              </w:rPr>
            </w:pPr>
            <w:r>
              <w:rPr>
                <w:rFonts w:hint="eastAsia"/>
                <w:b w:val="0"/>
                <w:bCs/>
                <w:color w:val="auto"/>
                <w:sz w:val="21"/>
                <w:szCs w:val="21"/>
              </w:rPr>
              <w:t>新进国外  2003/04  2004/05  2005/06  2006/07  2007/08  2008/09  2009/10  2010/11</w:t>
            </w:r>
          </w:p>
          <w:p>
            <w:pPr>
              <w:spacing w:before="0" w:after="0" w:line="240" w:lineRule="auto"/>
              <w:ind w:firstLine="0" w:firstLineChars="0"/>
              <w:rPr>
                <w:b/>
                <w:bCs w:val="0"/>
                <w:color w:val="auto"/>
                <w:sz w:val="21"/>
                <w:szCs w:val="21"/>
              </w:rPr>
            </w:pPr>
            <w:r>
              <w:rPr>
                <w:rFonts w:hint="eastAsia"/>
                <w:b w:val="0"/>
                <w:bCs/>
                <w:color w:val="auto"/>
                <w:sz w:val="21"/>
                <w:szCs w:val="21"/>
              </w:rPr>
              <w:t>学生数量</w:t>
            </w:r>
          </w:p>
        </w:tc>
      </w:tr>
      <w:tr>
        <w:tblPrEx>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Borders>
              <w:left w:val="nil"/>
              <w:right w:val="nil"/>
            </w:tcBorders>
            <w:shd w:val="clear" w:color="auto" w:fill="D2EAF0" w:themeFill="accent5" w:themeFillTint="3F"/>
          </w:tcPr>
          <w:p>
            <w:pPr>
              <w:ind w:firstLine="0" w:firstLineChars="0"/>
              <w:rPr>
                <w:b/>
                <w:bCs w:val="0"/>
                <w:color w:val="auto"/>
                <w:sz w:val="21"/>
                <w:szCs w:val="21"/>
              </w:rPr>
            </w:pPr>
            <w:r>
              <w:rPr>
                <w:rFonts w:hint="eastAsia"/>
                <w:b w:val="0"/>
                <w:bCs/>
                <w:color w:val="auto"/>
                <w:sz w:val="21"/>
                <w:szCs w:val="21"/>
              </w:rPr>
              <w:t>工程</w:t>
            </w:r>
            <w:r>
              <w:rPr>
                <w:rFonts w:hint="eastAsia"/>
                <w:b w:val="0"/>
                <w:bCs/>
                <w:color w:val="auto"/>
                <w:sz w:val="21"/>
                <w:szCs w:val="21"/>
              </w:rPr>
              <w:tab/>
            </w:r>
            <w:r>
              <w:rPr>
                <w:rFonts w:hint="eastAsia"/>
                <w:b w:val="0"/>
                <w:bCs/>
                <w:color w:val="auto"/>
                <w:sz w:val="21"/>
                <w:szCs w:val="21"/>
              </w:rPr>
              <w:t xml:space="preserve">   129      145     257     297     395      489     510      579</w:t>
            </w:r>
          </w:p>
        </w:tc>
      </w:tr>
      <w:tr>
        <w:tblPrEx>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ind w:firstLine="0" w:firstLineChars="0"/>
              <w:rPr>
                <w:b/>
                <w:bCs w:val="0"/>
                <w:color w:val="auto"/>
                <w:sz w:val="21"/>
                <w:szCs w:val="21"/>
              </w:rPr>
            </w:pPr>
            <w:r>
              <w:rPr>
                <w:rFonts w:hint="eastAsia"/>
                <w:b w:val="0"/>
                <w:bCs/>
                <w:color w:val="auto"/>
                <w:sz w:val="21"/>
                <w:szCs w:val="21"/>
              </w:rPr>
              <w:t>建筑</w:t>
            </w:r>
            <w:r>
              <w:rPr>
                <w:rFonts w:hint="eastAsia"/>
                <w:b w:val="0"/>
                <w:bCs/>
                <w:color w:val="auto"/>
                <w:sz w:val="21"/>
                <w:szCs w:val="21"/>
              </w:rPr>
              <w:tab/>
            </w:r>
            <w:r>
              <w:rPr>
                <w:rFonts w:hint="eastAsia"/>
                <w:b w:val="0"/>
                <w:bCs/>
                <w:color w:val="auto"/>
                <w:sz w:val="21"/>
                <w:szCs w:val="21"/>
              </w:rPr>
              <w:tab/>
            </w:r>
            <w:r>
              <w:rPr>
                <w:rFonts w:hint="eastAsia"/>
                <w:b w:val="0"/>
                <w:bCs/>
                <w:color w:val="auto"/>
                <w:sz w:val="21"/>
                <w:szCs w:val="21"/>
              </w:rPr>
              <w:t>61       81     106     125     181      217     289      436</w:t>
            </w:r>
          </w:p>
        </w:tc>
      </w:tr>
      <w:tr>
        <w:tblPrEx>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Borders>
              <w:left w:val="nil"/>
              <w:right w:val="nil"/>
            </w:tcBorders>
            <w:shd w:val="clear" w:color="auto" w:fill="D2EAF0" w:themeFill="accent5" w:themeFillTint="3F"/>
          </w:tcPr>
          <w:p>
            <w:pPr>
              <w:ind w:firstLine="0" w:firstLineChars="0"/>
              <w:rPr>
                <w:b/>
                <w:bCs w:val="0"/>
                <w:color w:val="auto"/>
                <w:sz w:val="21"/>
                <w:szCs w:val="21"/>
              </w:rPr>
            </w:pPr>
            <w:r>
              <w:rPr>
                <w:rFonts w:hint="eastAsia"/>
                <w:b w:val="0"/>
                <w:bCs/>
                <w:color w:val="auto"/>
                <w:sz w:val="21"/>
                <w:szCs w:val="21"/>
              </w:rPr>
              <w:t>设计</w:t>
            </w:r>
            <w:r>
              <w:rPr>
                <w:rFonts w:hint="eastAsia"/>
                <w:b w:val="0"/>
                <w:bCs/>
                <w:color w:val="auto"/>
                <w:sz w:val="21"/>
                <w:szCs w:val="21"/>
              </w:rPr>
              <w:tab/>
            </w:r>
            <w:r>
              <w:rPr>
                <w:rFonts w:hint="eastAsia"/>
                <w:b w:val="0"/>
                <w:bCs/>
                <w:color w:val="auto"/>
                <w:sz w:val="21"/>
                <w:szCs w:val="21"/>
              </w:rPr>
              <w:tab/>
            </w:r>
            <w:r>
              <w:rPr>
                <w:rFonts w:hint="eastAsia"/>
                <w:b w:val="0"/>
                <w:bCs/>
                <w:color w:val="auto"/>
                <w:sz w:val="21"/>
                <w:szCs w:val="21"/>
              </w:rPr>
              <w:t>55       64     114     115     146      128     115      147</w:t>
            </w:r>
          </w:p>
        </w:tc>
      </w:tr>
      <w:tr>
        <w:tblPrEx>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ind w:firstLine="0" w:firstLineChars="0"/>
              <w:rPr>
                <w:b/>
                <w:bCs w:val="0"/>
                <w:color w:val="auto"/>
                <w:sz w:val="21"/>
                <w:szCs w:val="21"/>
              </w:rPr>
            </w:pPr>
            <w:r>
              <w:rPr>
                <w:rFonts w:hint="eastAsia"/>
                <w:b w:val="0"/>
                <w:bCs/>
                <w:color w:val="auto"/>
                <w:sz w:val="21"/>
                <w:szCs w:val="21"/>
              </w:rPr>
              <w:t>共计</w:t>
            </w:r>
            <w:r>
              <w:rPr>
                <w:rFonts w:hint="eastAsia"/>
                <w:b w:val="0"/>
                <w:bCs/>
                <w:color w:val="auto"/>
                <w:sz w:val="21"/>
                <w:szCs w:val="21"/>
              </w:rPr>
              <w:tab/>
            </w:r>
            <w:r>
              <w:rPr>
                <w:rFonts w:hint="eastAsia"/>
                <w:b w:val="0"/>
                <w:bCs/>
                <w:color w:val="auto"/>
                <w:sz w:val="21"/>
                <w:szCs w:val="21"/>
              </w:rPr>
              <w:t xml:space="preserve">   245      290     477     537     722      834     914     1,162</w:t>
            </w:r>
          </w:p>
        </w:tc>
      </w:tr>
    </w:tbl>
    <w:p>
      <w:pPr>
        <w:ind w:firstLine="0" w:firstLineChars="0"/>
        <w:jc w:val="left"/>
        <w:rPr>
          <w:bCs/>
          <w:sz w:val="21"/>
          <w:szCs w:val="21"/>
        </w:rPr>
      </w:pPr>
    </w:p>
    <w:p>
      <w:pPr>
        <w:ind w:firstLine="420"/>
        <w:rPr>
          <w:sz w:val="21"/>
          <w:szCs w:val="21"/>
        </w:rPr>
      </w:pPr>
    </w:p>
    <w:p>
      <w:pPr>
        <w:pStyle w:val="12"/>
        <w:widowControl/>
        <w:spacing w:beforeAutospacing="0" w:afterAutospacing="0"/>
        <w:ind w:firstLine="482"/>
        <w:rPr>
          <w:b/>
          <w:color w:val="FF0000"/>
          <w:szCs w:val="24"/>
        </w:rPr>
      </w:pPr>
      <w:r>
        <w:rPr>
          <w:b/>
          <w:color w:val="FF0000"/>
          <w:szCs w:val="24"/>
        </w:rPr>
        <w:t>5 结语</w:t>
      </w:r>
    </w:p>
    <w:p>
      <w:pPr>
        <w:ind w:firstLine="420"/>
        <w:rPr>
          <w:sz w:val="21"/>
          <w:szCs w:val="21"/>
        </w:rPr>
      </w:pPr>
      <w:r>
        <w:rPr>
          <w:rFonts w:hint="eastAsia"/>
          <w:sz w:val="21"/>
          <w:szCs w:val="21"/>
        </w:rPr>
        <w:t>米兰理工大学作为意大利三所理工大学之一，其设计学院更是世界顶尖的设计学院，其设计教育国际化战略也反映了意大利设计教育国际化战略的基本理念......</w:t>
      </w:r>
    </w:p>
    <w:p>
      <w:pPr>
        <w:ind w:firstLine="422"/>
        <w:rPr>
          <w:b/>
          <w:sz w:val="21"/>
          <w:szCs w:val="21"/>
        </w:rPr>
      </w:pPr>
    </w:p>
    <w:p>
      <w:pPr>
        <w:ind w:firstLine="422"/>
        <w:rPr>
          <w:b/>
          <w:sz w:val="21"/>
          <w:szCs w:val="21"/>
        </w:rPr>
      </w:pPr>
    </w:p>
    <w:p>
      <w:pPr>
        <w:ind w:firstLine="422"/>
        <w:rPr>
          <w:b/>
          <w:sz w:val="21"/>
          <w:szCs w:val="21"/>
        </w:rPr>
      </w:pPr>
    </w:p>
    <w:p>
      <w:pPr>
        <w:pStyle w:val="12"/>
        <w:widowControl/>
        <w:spacing w:beforeAutospacing="0" w:afterAutospacing="0"/>
        <w:ind w:firstLine="422"/>
        <w:rPr>
          <w:b/>
          <w:color w:val="000000"/>
          <w:sz w:val="21"/>
          <w:szCs w:val="21"/>
        </w:rPr>
      </w:pPr>
      <w:r>
        <w:rPr>
          <w:b/>
          <w:color w:val="000000"/>
          <w:sz w:val="21"/>
          <w:szCs w:val="21"/>
        </w:rPr>
        <w:t>参考文献：</w:t>
      </w:r>
    </w:p>
    <w:p>
      <w:pPr>
        <w:pStyle w:val="12"/>
        <w:widowControl/>
        <w:spacing w:beforeAutospacing="0" w:afterAutospacing="0"/>
        <w:ind w:firstLine="422"/>
        <w:rPr>
          <w:b/>
          <w:color w:val="0000FF"/>
          <w:sz w:val="21"/>
          <w:szCs w:val="21"/>
        </w:rPr>
      </w:pPr>
      <w:r>
        <w:rPr>
          <w:b/>
          <w:color w:val="0000FF"/>
          <w:sz w:val="21"/>
          <w:szCs w:val="21"/>
        </w:rPr>
        <w:t>（参考文献不少于10 条，一般要至少引用本刊文献2篇，CSSCI文献不少于5篇，且近5年发表的文献占总数的70%以上，不能引用网络参考文献。</w:t>
      </w:r>
    </w:p>
    <w:p>
      <w:pPr>
        <w:ind w:firstLine="422"/>
        <w:rPr>
          <w:b/>
          <w:sz w:val="21"/>
          <w:szCs w:val="21"/>
        </w:rPr>
      </w:pPr>
    </w:p>
    <w:p>
      <w:pPr>
        <w:ind w:firstLine="420"/>
        <w:rPr>
          <w:sz w:val="21"/>
          <w:szCs w:val="21"/>
        </w:rPr>
      </w:pPr>
      <w:r>
        <w:rPr>
          <w:rFonts w:hint="eastAsia"/>
          <w:sz w:val="21"/>
          <w:szCs w:val="21"/>
        </w:rPr>
        <w:t>[1] 蔡端懿，赵静.意大利设计学科研究生教育现状研究——以米兰地区设计院校为例[J].  艺术与设计(理论). 2017(03):150-152.</w:t>
      </w:r>
    </w:p>
    <w:p>
      <w:pPr>
        <w:ind w:firstLine="420"/>
        <w:rPr>
          <w:sz w:val="21"/>
          <w:szCs w:val="21"/>
        </w:rPr>
      </w:pPr>
      <w:r>
        <w:rPr>
          <w:sz w:val="21"/>
          <w:szCs w:val="21"/>
        </w:rPr>
        <w:t>[</w:t>
      </w:r>
      <w:r>
        <w:rPr>
          <w:rFonts w:hint="eastAsia"/>
          <w:sz w:val="21"/>
          <w:szCs w:val="21"/>
        </w:rPr>
        <w:t>2</w:t>
      </w:r>
      <w:r>
        <w:rPr>
          <w:sz w:val="21"/>
          <w:szCs w:val="21"/>
        </w:rPr>
        <w:t xml:space="preserve">] </w:t>
      </w:r>
      <w:r>
        <w:rPr>
          <w:rFonts w:hint="eastAsia"/>
          <w:sz w:val="21"/>
          <w:szCs w:val="21"/>
        </w:rPr>
        <w:t>赵持平.另一种设计教育——意大利设计的启示</w:t>
      </w:r>
      <w:r>
        <w:rPr>
          <w:sz w:val="21"/>
          <w:szCs w:val="21"/>
        </w:rPr>
        <w:t xml:space="preserve">[J]. </w:t>
      </w:r>
      <w:r>
        <w:rPr>
          <w:rFonts w:hint="eastAsia"/>
          <w:sz w:val="21"/>
          <w:szCs w:val="21"/>
        </w:rPr>
        <w:t>装饰，</w:t>
      </w:r>
      <w:r>
        <w:rPr>
          <w:sz w:val="21"/>
          <w:szCs w:val="21"/>
        </w:rPr>
        <w:t>2004</w:t>
      </w:r>
      <w:r>
        <w:rPr>
          <w:rFonts w:hint="eastAsia"/>
          <w:sz w:val="21"/>
          <w:szCs w:val="21"/>
        </w:rPr>
        <w:t>（</w:t>
      </w:r>
      <w:r>
        <w:rPr>
          <w:sz w:val="21"/>
          <w:szCs w:val="21"/>
        </w:rPr>
        <w:t>8</w:t>
      </w:r>
      <w:r>
        <w:rPr>
          <w:rFonts w:hint="eastAsia"/>
          <w:sz w:val="21"/>
          <w:szCs w:val="21"/>
        </w:rPr>
        <w:t>）：</w:t>
      </w:r>
      <w:r>
        <w:rPr>
          <w:sz w:val="21"/>
          <w:szCs w:val="21"/>
        </w:rPr>
        <w:t>16.</w:t>
      </w:r>
    </w:p>
    <w:p>
      <w:pPr>
        <w:ind w:firstLine="420"/>
        <w:rPr>
          <w:sz w:val="21"/>
          <w:szCs w:val="21"/>
        </w:rPr>
      </w:pPr>
      <w:r>
        <w:rPr>
          <w:rFonts w:hint="eastAsia"/>
          <w:sz w:val="21"/>
          <w:szCs w:val="21"/>
        </w:rPr>
        <w:t>[3] 吴浩.意大利高校景观建筑专业教育探析[J].成都纺织高等专科学校学报.2017,34，(03):241-243.</w:t>
      </w:r>
    </w:p>
    <w:p>
      <w:pPr>
        <w:ind w:firstLine="420"/>
        <w:rPr>
          <w:sz w:val="21"/>
          <w:szCs w:val="21"/>
        </w:rPr>
      </w:pPr>
      <w:r>
        <w:rPr>
          <w:rFonts w:hint="eastAsia"/>
          <w:sz w:val="21"/>
          <w:szCs w:val="21"/>
        </w:rPr>
        <w:t xml:space="preserve">[4] </w:t>
      </w:r>
      <w:r>
        <w:rPr>
          <w:sz w:val="21"/>
          <w:szCs w:val="21"/>
        </w:rPr>
        <w:t>Arena, M., Arnaboldi, M., &amp; Azzone, G. Internal audit in Italian organizations: a multiple case study</w:t>
      </w:r>
      <w:r>
        <w:rPr>
          <w:rFonts w:hint="eastAsia"/>
          <w:sz w:val="21"/>
          <w:szCs w:val="21"/>
        </w:rPr>
        <w:t>[J]</w:t>
      </w:r>
      <w:r>
        <w:rPr>
          <w:sz w:val="21"/>
          <w:szCs w:val="21"/>
        </w:rPr>
        <w:t>. Managerial Auditing Journal, 2006</w:t>
      </w:r>
      <w:r>
        <w:rPr>
          <w:rFonts w:hint="eastAsia"/>
          <w:sz w:val="21"/>
          <w:szCs w:val="21"/>
        </w:rPr>
        <w:t>,(</w:t>
      </w:r>
      <w:r>
        <w:rPr>
          <w:sz w:val="21"/>
          <w:szCs w:val="21"/>
        </w:rPr>
        <w:t>21</w:t>
      </w:r>
      <w:r>
        <w:rPr>
          <w:rFonts w:hint="eastAsia"/>
          <w:sz w:val="21"/>
          <w:szCs w:val="21"/>
        </w:rPr>
        <w:t>):</w:t>
      </w:r>
      <w:r>
        <w:rPr>
          <w:sz w:val="21"/>
          <w:szCs w:val="21"/>
        </w:rPr>
        <w:t>275-292.</w:t>
      </w:r>
    </w:p>
    <w:p>
      <w:pPr>
        <w:ind w:firstLine="420"/>
        <w:rPr>
          <w:sz w:val="21"/>
          <w:szCs w:val="21"/>
        </w:rPr>
      </w:pPr>
      <w:r>
        <w:rPr>
          <w:rFonts w:hint="eastAsia"/>
          <w:sz w:val="21"/>
          <w:szCs w:val="21"/>
        </w:rPr>
        <w:t>[5] 章彰,聂桂平,刘淼.基于因子分析的意大利高等设计教育定位研究[J].东华大学学报(自然科学版). 2015(04):555-558.</w:t>
      </w:r>
    </w:p>
    <w:p>
      <w:pPr>
        <w:ind w:firstLine="420"/>
        <w:rPr>
          <w:sz w:val="21"/>
          <w:szCs w:val="21"/>
        </w:rPr>
      </w:pPr>
      <w:r>
        <w:rPr>
          <w:rFonts w:hint="eastAsia"/>
          <w:sz w:val="21"/>
          <w:szCs w:val="21"/>
        </w:rPr>
        <w:t xml:space="preserve">[6] </w:t>
      </w:r>
      <w:r>
        <w:rPr>
          <w:sz w:val="21"/>
          <w:szCs w:val="21"/>
        </w:rPr>
        <w:t>Arena, M., Arnaboldi, M., &amp; Azzone, G. Student Perception and Central Administrative Services: the case of higher education in Italy</w:t>
      </w:r>
      <w:r>
        <w:rPr>
          <w:rFonts w:hint="eastAsia"/>
          <w:sz w:val="21"/>
          <w:szCs w:val="21"/>
        </w:rPr>
        <w:t>[J]</w:t>
      </w:r>
      <w:r>
        <w:rPr>
          <w:sz w:val="21"/>
          <w:szCs w:val="21"/>
        </w:rPr>
        <w:t>.Studies in Higher Education, 2010</w:t>
      </w:r>
      <w:r>
        <w:rPr>
          <w:rFonts w:hint="eastAsia"/>
          <w:sz w:val="21"/>
          <w:szCs w:val="21"/>
        </w:rPr>
        <w:t>,(</w:t>
      </w:r>
      <w:r>
        <w:rPr>
          <w:sz w:val="21"/>
          <w:szCs w:val="21"/>
        </w:rPr>
        <w:t>35</w:t>
      </w:r>
      <w:r>
        <w:rPr>
          <w:rFonts w:hint="eastAsia"/>
          <w:sz w:val="21"/>
          <w:szCs w:val="21"/>
        </w:rPr>
        <w:t>):</w:t>
      </w:r>
      <w:r>
        <w:rPr>
          <w:sz w:val="21"/>
          <w:szCs w:val="21"/>
        </w:rPr>
        <w:t>941-959.</w:t>
      </w:r>
    </w:p>
    <w:p>
      <w:pPr>
        <w:ind w:firstLine="420"/>
        <w:rPr>
          <w:sz w:val="21"/>
          <w:szCs w:val="21"/>
        </w:rPr>
      </w:pPr>
      <w:r>
        <w:rPr>
          <w:rFonts w:hint="eastAsia"/>
          <w:sz w:val="21"/>
          <w:szCs w:val="21"/>
        </w:rPr>
        <w:t xml:space="preserve">[7] </w:t>
      </w:r>
      <w:r>
        <w:rPr>
          <w:sz w:val="21"/>
          <w:szCs w:val="21"/>
        </w:rPr>
        <w:t>Arnaboldi, M., &amp; Azzone, G. Constructing performance measurement in the public sector</w:t>
      </w:r>
      <w:r>
        <w:rPr>
          <w:rFonts w:hint="eastAsia"/>
          <w:sz w:val="21"/>
          <w:szCs w:val="21"/>
        </w:rPr>
        <w:t>[J]</w:t>
      </w:r>
      <w:r>
        <w:rPr>
          <w:sz w:val="21"/>
          <w:szCs w:val="21"/>
        </w:rPr>
        <w:t>. Critical Perspectives on Accounting, 2010</w:t>
      </w:r>
      <w:r>
        <w:rPr>
          <w:rFonts w:hint="eastAsia"/>
          <w:sz w:val="21"/>
          <w:szCs w:val="21"/>
        </w:rPr>
        <w:t>,(</w:t>
      </w:r>
      <w:r>
        <w:rPr>
          <w:sz w:val="21"/>
          <w:szCs w:val="21"/>
        </w:rPr>
        <w:t>21</w:t>
      </w:r>
      <w:r>
        <w:rPr>
          <w:rFonts w:hint="eastAsia"/>
          <w:sz w:val="21"/>
          <w:szCs w:val="21"/>
        </w:rPr>
        <w:t>):</w:t>
      </w:r>
      <w:r>
        <w:rPr>
          <w:sz w:val="21"/>
          <w:szCs w:val="21"/>
        </w:rPr>
        <w:t>266-282.</w:t>
      </w:r>
    </w:p>
    <w:p>
      <w:pPr>
        <w:ind w:firstLine="420"/>
        <w:rPr>
          <w:sz w:val="21"/>
          <w:szCs w:val="21"/>
        </w:rPr>
      </w:pPr>
      <w:r>
        <w:rPr>
          <w:rFonts w:hint="eastAsia"/>
          <w:sz w:val="21"/>
          <w:szCs w:val="21"/>
        </w:rPr>
        <w:t xml:space="preserve">[8] </w:t>
      </w:r>
      <w:r>
        <w:rPr>
          <w:sz w:val="21"/>
          <w:szCs w:val="21"/>
        </w:rPr>
        <w:t>Arnaboldi, M., Azzone, G., &amp; Savoldelli, A. Managing a public sector project: the Case of the Italian Treasury Ministry</w:t>
      </w:r>
      <w:r>
        <w:rPr>
          <w:rFonts w:hint="eastAsia"/>
          <w:sz w:val="21"/>
          <w:szCs w:val="21"/>
        </w:rPr>
        <w:t>[J].</w:t>
      </w:r>
      <w:r>
        <w:rPr>
          <w:sz w:val="21"/>
          <w:szCs w:val="21"/>
        </w:rPr>
        <w:t>International</w:t>
      </w:r>
      <w:r>
        <w:rPr>
          <w:rFonts w:hint="eastAsia"/>
          <w:sz w:val="21"/>
          <w:szCs w:val="21"/>
        </w:rPr>
        <w:t xml:space="preserve"> </w:t>
      </w:r>
      <w:r>
        <w:rPr>
          <w:sz w:val="21"/>
          <w:szCs w:val="21"/>
        </w:rPr>
        <w:t>Journal of Project Management, 2004</w:t>
      </w:r>
      <w:r>
        <w:rPr>
          <w:rFonts w:hint="eastAsia"/>
          <w:sz w:val="21"/>
          <w:szCs w:val="21"/>
        </w:rPr>
        <w:t>,(</w:t>
      </w:r>
      <w:r>
        <w:rPr>
          <w:sz w:val="21"/>
          <w:szCs w:val="21"/>
        </w:rPr>
        <w:t>22</w:t>
      </w:r>
      <w:r>
        <w:rPr>
          <w:rFonts w:hint="eastAsia"/>
          <w:sz w:val="21"/>
          <w:szCs w:val="21"/>
        </w:rPr>
        <w:t>):</w:t>
      </w:r>
      <w:r>
        <w:rPr>
          <w:sz w:val="21"/>
          <w:szCs w:val="21"/>
        </w:rPr>
        <w:t>213-223.</w:t>
      </w:r>
    </w:p>
    <w:p>
      <w:pPr>
        <w:ind w:firstLine="420"/>
        <w:rPr>
          <w:sz w:val="21"/>
          <w:szCs w:val="21"/>
        </w:rPr>
      </w:pPr>
      <w:r>
        <w:rPr>
          <w:sz w:val="21"/>
          <w:szCs w:val="21"/>
        </w:rPr>
        <w:t>[</w:t>
      </w:r>
      <w:r>
        <w:rPr>
          <w:rFonts w:hint="eastAsia"/>
          <w:sz w:val="21"/>
          <w:szCs w:val="21"/>
        </w:rPr>
        <w:t>10</w:t>
      </w:r>
      <w:r>
        <w:rPr>
          <w:sz w:val="21"/>
          <w:szCs w:val="21"/>
        </w:rPr>
        <w:t>]</w:t>
      </w:r>
      <w:r>
        <w:rPr>
          <w:rFonts w:hint="eastAsia"/>
          <w:sz w:val="21"/>
          <w:szCs w:val="21"/>
        </w:rPr>
        <w:t xml:space="preserve"> 范文曜,马陆亭,杨秀文.法国和意大利高等教育管理体制调研报告[J].理工高教研究. 2005,(05):1-8.</w:t>
      </w:r>
    </w:p>
    <w:p>
      <w:pPr>
        <w:ind w:firstLine="420"/>
        <w:rPr>
          <w:sz w:val="21"/>
          <w:szCs w:val="21"/>
        </w:rPr>
      </w:pPr>
      <w:r>
        <w:rPr>
          <w:sz w:val="21"/>
          <w:szCs w:val="21"/>
        </w:rPr>
        <w:t>[</w:t>
      </w:r>
      <w:r>
        <w:rPr>
          <w:rFonts w:hint="eastAsia"/>
          <w:sz w:val="21"/>
          <w:szCs w:val="21"/>
        </w:rPr>
        <w:t>11</w:t>
      </w:r>
      <w:r>
        <w:rPr>
          <w:sz w:val="21"/>
          <w:szCs w:val="21"/>
        </w:rPr>
        <w:t>]</w:t>
      </w:r>
      <w:r>
        <w:rPr>
          <w:rFonts w:hint="eastAsia"/>
          <w:sz w:val="21"/>
          <w:szCs w:val="21"/>
        </w:rPr>
        <w:t xml:space="preserve"> </w:t>
      </w:r>
      <w:r>
        <w:rPr>
          <w:sz w:val="21"/>
          <w:szCs w:val="21"/>
        </w:rPr>
        <w:t>Simonelli</w:t>
      </w:r>
      <w:r>
        <w:rPr>
          <w:rFonts w:hint="eastAsia"/>
          <w:sz w:val="21"/>
          <w:szCs w:val="21"/>
        </w:rPr>
        <w:t xml:space="preserve"> </w:t>
      </w:r>
      <w:r>
        <w:rPr>
          <w:sz w:val="21"/>
          <w:szCs w:val="21"/>
        </w:rPr>
        <w:t>G.,</w:t>
      </w:r>
      <w:r>
        <w:rPr>
          <w:rFonts w:hint="eastAsia"/>
          <w:sz w:val="21"/>
          <w:szCs w:val="21"/>
        </w:rPr>
        <w:t xml:space="preserve"> </w:t>
      </w:r>
      <w:r>
        <w:rPr>
          <w:sz w:val="21"/>
          <w:szCs w:val="21"/>
        </w:rPr>
        <w:t>Territorio</w:t>
      </w:r>
      <w:r>
        <w:rPr>
          <w:rFonts w:hint="eastAsia"/>
          <w:sz w:val="21"/>
          <w:szCs w:val="21"/>
        </w:rPr>
        <w:t xml:space="preserve"> </w:t>
      </w:r>
      <w:r>
        <w:rPr>
          <w:sz w:val="21"/>
          <w:szCs w:val="21"/>
        </w:rPr>
        <w:t>Design.</w:t>
      </w:r>
      <w:r>
        <w:rPr>
          <w:rFonts w:hint="eastAsia"/>
          <w:sz w:val="21"/>
          <w:szCs w:val="21"/>
        </w:rPr>
        <w:t xml:space="preserve"> </w:t>
      </w:r>
      <w:r>
        <w:rPr>
          <w:sz w:val="21"/>
          <w:szCs w:val="21"/>
        </w:rPr>
        <w:t>Il</w:t>
      </w:r>
      <w:r>
        <w:rPr>
          <w:rFonts w:hint="eastAsia"/>
          <w:sz w:val="21"/>
          <w:szCs w:val="21"/>
        </w:rPr>
        <w:t xml:space="preserve"> </w:t>
      </w:r>
      <w:r>
        <w:rPr>
          <w:sz w:val="21"/>
          <w:szCs w:val="21"/>
        </w:rPr>
        <w:t>design</w:t>
      </w:r>
      <w:r>
        <w:rPr>
          <w:rFonts w:hint="eastAsia"/>
          <w:sz w:val="21"/>
          <w:szCs w:val="21"/>
        </w:rPr>
        <w:t xml:space="preserve"> </w:t>
      </w:r>
      <w:r>
        <w:rPr>
          <w:sz w:val="21"/>
          <w:szCs w:val="21"/>
        </w:rPr>
        <w:t>per</w:t>
      </w:r>
      <w:r>
        <w:rPr>
          <w:rFonts w:hint="eastAsia"/>
          <w:sz w:val="21"/>
          <w:szCs w:val="21"/>
        </w:rPr>
        <w:t xml:space="preserve"> </w:t>
      </w:r>
      <w:r>
        <w:rPr>
          <w:sz w:val="21"/>
          <w:szCs w:val="21"/>
        </w:rPr>
        <w:t>I</w:t>
      </w:r>
      <w:r>
        <w:rPr>
          <w:rFonts w:hint="eastAsia"/>
          <w:sz w:val="21"/>
          <w:szCs w:val="21"/>
        </w:rPr>
        <w:t xml:space="preserve"> </w:t>
      </w:r>
      <w:r>
        <w:rPr>
          <w:sz w:val="21"/>
          <w:szCs w:val="21"/>
        </w:rPr>
        <w:t>distretti</w:t>
      </w:r>
      <w:r>
        <w:rPr>
          <w:rFonts w:hint="eastAsia"/>
          <w:sz w:val="21"/>
          <w:szCs w:val="21"/>
        </w:rPr>
        <w:t xml:space="preserve"> </w:t>
      </w:r>
      <w:r>
        <w:rPr>
          <w:sz w:val="21"/>
          <w:szCs w:val="21"/>
        </w:rPr>
        <w:t>industriali,</w:t>
      </w:r>
      <w:r>
        <w:rPr>
          <w:rFonts w:hint="eastAsia"/>
          <w:sz w:val="21"/>
          <w:szCs w:val="21"/>
        </w:rPr>
        <w:t xml:space="preserve"> </w:t>
      </w:r>
      <w:r>
        <w:rPr>
          <w:sz w:val="21"/>
          <w:szCs w:val="21"/>
        </w:rPr>
        <w:t>Ed[M]. Milano</w:t>
      </w:r>
      <w:r>
        <w:rPr>
          <w:rFonts w:hint="eastAsia"/>
          <w:sz w:val="21"/>
          <w:szCs w:val="21"/>
        </w:rPr>
        <w:t>:</w:t>
      </w:r>
      <w:r>
        <w:rPr>
          <w:sz w:val="21"/>
          <w:szCs w:val="21"/>
        </w:rPr>
        <w:t>POLI.design,2000.</w:t>
      </w:r>
    </w:p>
    <w:p>
      <w:pPr>
        <w:ind w:firstLine="420"/>
        <w:rPr>
          <w:sz w:val="21"/>
          <w:szCs w:val="21"/>
        </w:rPr>
      </w:pPr>
    </w:p>
    <w:p>
      <w:pPr>
        <w:pStyle w:val="12"/>
        <w:widowControl/>
        <w:spacing w:beforeAutospacing="0" w:afterAutospacing="0"/>
        <w:ind w:firstLine="422"/>
        <w:rPr>
          <w:b/>
          <w:color w:val="FF0000"/>
          <w:sz w:val="21"/>
          <w:szCs w:val="21"/>
        </w:rPr>
      </w:pPr>
      <w:r>
        <w:rPr>
          <w:b/>
          <w:color w:val="0000FF"/>
          <w:sz w:val="21"/>
          <w:szCs w:val="21"/>
        </w:rPr>
        <w:t>参考文献：采用顺序编码制，即参考文献著录序号按照引用文献在论文中出现的先后顺序连续编号，不能遗漏或颠倒。序号置于方括号内，排列在文中相应位置右上角；参考文献著录表置于文末，其排列顺序以正文出现的先后为准；序号左顶格，用阿拉伯数字加方括号标示，每一条文献最后均以实心点结束。参考文献的页码均标于文末参考文献表中，文中不再标注，参考文献不得少于 10 条。中文文献须有相应的英文对照。著者姓名采用姓在前，名在后。外文的姓不缩写，名缩写。多位作者请在第三作者后写“,et al.”；中文作者三位以后用“等”。</w:t>
      </w:r>
      <w:r>
        <w:rPr>
          <w:b/>
          <w:color w:val="FF0000"/>
          <w:sz w:val="21"/>
          <w:szCs w:val="21"/>
        </w:rPr>
        <w:t>（不能引用网络参考文献）</w:t>
      </w:r>
    </w:p>
    <w:p>
      <w:pPr>
        <w:pStyle w:val="12"/>
        <w:widowControl/>
        <w:spacing w:beforeAutospacing="0" w:afterAutospacing="0"/>
        <w:ind w:firstLine="422"/>
        <w:rPr>
          <w:b/>
          <w:color w:val="FF0000"/>
          <w:sz w:val="21"/>
          <w:szCs w:val="21"/>
        </w:rPr>
      </w:pPr>
    </w:p>
    <w:p>
      <w:pPr>
        <w:pStyle w:val="12"/>
        <w:widowControl/>
        <w:spacing w:beforeAutospacing="0" w:afterAutospacing="0"/>
        <w:ind w:firstLine="422"/>
        <w:rPr>
          <w:b/>
          <w:color w:val="0000FF"/>
          <w:sz w:val="21"/>
          <w:szCs w:val="21"/>
        </w:rPr>
      </w:pPr>
      <w:r>
        <w:rPr>
          <w:b/>
          <w:color w:val="0000FF"/>
          <w:sz w:val="21"/>
          <w:szCs w:val="21"/>
        </w:rPr>
        <w:t>注：通讯作者指课题的总负责人，承担课题的经费、设计、文章的书写和把关。</w:t>
      </w:r>
    </w:p>
    <w:p>
      <w:pPr>
        <w:pStyle w:val="12"/>
        <w:widowControl/>
        <w:spacing w:beforeAutospacing="0" w:afterAutospacing="0"/>
        <w:ind w:firstLine="422"/>
        <w:rPr>
          <w:b/>
          <w:color w:val="0000FF"/>
          <w:sz w:val="21"/>
          <w:szCs w:val="21"/>
        </w:rPr>
      </w:pPr>
    </w:p>
    <w:p>
      <w:pPr>
        <w:pStyle w:val="12"/>
        <w:widowControl/>
        <w:spacing w:beforeAutospacing="0" w:afterAutospacing="0"/>
        <w:ind w:firstLine="560"/>
        <w:rPr>
          <w:b/>
          <w:color w:val="FF0000"/>
          <w:sz w:val="40"/>
          <w:szCs w:val="40"/>
        </w:rPr>
      </w:pPr>
      <w:r>
        <w:rPr>
          <w:rFonts w:hint="eastAsia"/>
          <w:color w:val="FF0000"/>
          <w:sz w:val="28"/>
          <w:szCs w:val="28"/>
        </w:rPr>
        <w:t>投稿请注明：湖南省研究生创新论坛征文</w:t>
      </w:r>
    </w:p>
    <w:p>
      <w:pPr>
        <w:ind w:firstLine="420"/>
        <w:jc w:val="left"/>
        <w:rPr>
          <w:sz w:val="21"/>
          <w:szCs w:val="21"/>
        </w:rPr>
      </w:pPr>
      <w:r>
        <w:rPr>
          <w:rFonts w:hint="eastAsia"/>
          <w:sz w:val="21"/>
          <w:szCs w:val="21"/>
        </w:rPr>
        <w:t>《家具与室内装饰》杂志社</w:t>
      </w:r>
      <w:r>
        <w:rPr>
          <w:rFonts w:hint="eastAsia"/>
          <w:sz w:val="21"/>
          <w:szCs w:val="21"/>
        </w:rPr>
        <w:tab/>
      </w:r>
    </w:p>
    <w:p>
      <w:pPr>
        <w:ind w:firstLine="420"/>
        <w:jc w:val="left"/>
        <w:rPr>
          <w:sz w:val="21"/>
          <w:szCs w:val="21"/>
        </w:rPr>
      </w:pPr>
      <w:r>
        <w:rPr>
          <w:rFonts w:hint="eastAsia"/>
          <w:sz w:val="21"/>
          <w:szCs w:val="21"/>
        </w:rPr>
        <w:t>电 话：0086 731-85623185</w:t>
      </w:r>
    </w:p>
    <w:p>
      <w:pPr>
        <w:ind w:firstLine="420"/>
        <w:jc w:val="left"/>
        <w:rPr>
          <w:sz w:val="21"/>
          <w:szCs w:val="21"/>
        </w:rPr>
      </w:pPr>
      <w:r>
        <w:rPr>
          <w:rFonts w:hint="eastAsia"/>
          <w:sz w:val="21"/>
          <w:szCs w:val="21"/>
        </w:rPr>
        <w:t>传 真：0086 731-85623183</w:t>
      </w:r>
    </w:p>
    <w:p>
      <w:pPr>
        <w:ind w:firstLine="420"/>
        <w:jc w:val="left"/>
        <w:rPr>
          <w:sz w:val="21"/>
          <w:szCs w:val="21"/>
        </w:rPr>
      </w:pPr>
      <w:r>
        <w:rPr>
          <w:rFonts w:hint="eastAsia"/>
          <w:sz w:val="21"/>
          <w:szCs w:val="21"/>
        </w:rPr>
        <w:t xml:space="preserve">投稿邮箱: </w:t>
      </w:r>
      <w:r>
        <w:fldChar w:fldCharType="begin"/>
      </w:r>
      <w:r>
        <w:instrText xml:space="preserve"> HYPERLINK "mailto:fidchina@163.com" </w:instrText>
      </w:r>
      <w:r>
        <w:fldChar w:fldCharType="separate"/>
      </w:r>
      <w:r>
        <w:rPr>
          <w:rFonts w:hint="eastAsia"/>
          <w:sz w:val="21"/>
          <w:szCs w:val="21"/>
        </w:rPr>
        <w:t>fidjournal@163.com</w:t>
      </w:r>
      <w:r>
        <w:rPr>
          <w:rFonts w:hint="eastAsia"/>
          <w:sz w:val="21"/>
          <w:szCs w:val="21"/>
        </w:rPr>
        <w:fldChar w:fldCharType="end"/>
      </w:r>
    </w:p>
    <w:p>
      <w:pPr>
        <w:ind w:firstLine="420"/>
        <w:jc w:val="left"/>
        <w:rPr>
          <w:sz w:val="21"/>
          <w:szCs w:val="21"/>
        </w:rPr>
      </w:pPr>
      <w:r>
        <w:rPr>
          <w:rFonts w:hint="eastAsia"/>
          <w:sz w:val="21"/>
          <w:szCs w:val="21"/>
        </w:rPr>
        <w:t>网 站：</w:t>
      </w:r>
      <w:r>
        <w:fldChar w:fldCharType="begin"/>
      </w:r>
      <w:r>
        <w:instrText xml:space="preserve"> HYPERLINK "http://www.fidchina.com" </w:instrText>
      </w:r>
      <w:r>
        <w:fldChar w:fldCharType="separate"/>
      </w:r>
      <w:r>
        <w:rPr>
          <w:rFonts w:hint="eastAsia"/>
          <w:sz w:val="21"/>
          <w:szCs w:val="21"/>
        </w:rPr>
        <w:t>www.fidchina.com</w:t>
      </w:r>
      <w:r>
        <w:rPr>
          <w:rFonts w:hint="eastAsia"/>
          <w:sz w:val="21"/>
          <w:szCs w:val="21"/>
        </w:rPr>
        <w:fldChar w:fldCharType="end"/>
      </w:r>
    </w:p>
    <w:p>
      <w:pPr>
        <w:ind w:firstLine="420"/>
        <w:jc w:val="left"/>
        <w:rPr>
          <w:sz w:val="21"/>
          <w:szCs w:val="21"/>
        </w:rPr>
      </w:pPr>
      <w:r>
        <w:rPr>
          <w:rFonts w:hint="eastAsia"/>
          <w:sz w:val="21"/>
          <w:szCs w:val="21"/>
        </w:rPr>
        <w:t>QQ群: 27522147</w:t>
      </w:r>
    </w:p>
    <w:p>
      <w:pPr>
        <w:ind w:firstLine="420"/>
        <w:jc w:val="left"/>
        <w:rPr>
          <w:sz w:val="21"/>
          <w:szCs w:val="21"/>
        </w:rPr>
      </w:pPr>
      <w:r>
        <w:rPr>
          <w:rFonts w:hint="eastAsia"/>
          <w:sz w:val="21"/>
          <w:szCs w:val="21"/>
        </w:rPr>
        <w:t>邮 编：410004</w:t>
      </w:r>
    </w:p>
    <w:p>
      <w:pPr>
        <w:ind w:firstLine="420"/>
        <w:jc w:val="left"/>
        <w:rPr>
          <w:sz w:val="21"/>
          <w:szCs w:val="21"/>
        </w:rPr>
      </w:pPr>
      <w:r>
        <w:rPr>
          <w:rFonts w:hint="eastAsia"/>
          <w:sz w:val="21"/>
          <w:szCs w:val="21"/>
        </w:rPr>
        <w:t>地 址：湖南省长沙市韶山南路498号中南林业科技大学第八教学楼105室</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9"/>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ind w:firstLine="0" w:firstLineChars="0"/>
    </w:pPr>
    <w:r>
      <w:rPr>
        <w:rFonts w:hint="eastAsia" w:asciiTheme="minorEastAsia" w:hAnsiTheme="minorEastAsia" w:eastAsiaTheme="minorEastAsia" w:cstheme="minorEastAsia"/>
        <w:bCs/>
        <w:color w:val="000000"/>
        <w:sz w:val="21"/>
        <w:szCs w:val="21"/>
      </w:rPr>
      <w:t>湖南省研究生创新论坛征文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6E17BB"/>
    <w:multiLevelType w:val="singleLevel"/>
    <w:tmpl w:val="FE6E17BB"/>
    <w:lvl w:ilvl="0" w:tentative="0">
      <w:start w:val="5"/>
      <w:numFmt w:val="decimal"/>
      <w:lvlText w:val="%1."/>
      <w:lvlJc w:val="left"/>
      <w:pPr>
        <w:tabs>
          <w:tab w:val="left" w:pos="312"/>
        </w:tabs>
      </w:pPr>
    </w:lvl>
  </w:abstractNum>
  <w:abstractNum w:abstractNumId="1">
    <w:nsid w:val="2B572A13"/>
    <w:multiLevelType w:val="singleLevel"/>
    <w:tmpl w:val="2B572A13"/>
    <w:lvl w:ilvl="0" w:tentative="0">
      <w:start w:val="1"/>
      <w:numFmt w:val="decimal"/>
      <w:lvlText w:val="（%1."/>
      <w:lvlJc w:val="left"/>
      <w:pPr>
        <w:tabs>
          <w:tab w:val="left" w:pos="312"/>
        </w:tabs>
      </w:pPr>
    </w:lvl>
  </w:abstractNum>
  <w:abstractNum w:abstractNumId="2">
    <w:nsid w:val="5EB49BBC"/>
    <w:multiLevelType w:val="singleLevel"/>
    <w:tmpl w:val="5EB49BBC"/>
    <w:lvl w:ilvl="0" w:tentative="0">
      <w:start w:val="1"/>
      <w:numFmt w:val="decimal"/>
      <w:lvlText w:val="%1."/>
      <w:lvlJc w:val="left"/>
      <w:pPr>
        <w:tabs>
          <w:tab w:val="left" w:pos="312"/>
        </w:tabs>
      </w:pPr>
    </w:lvl>
  </w:abstractNum>
  <w:abstractNum w:abstractNumId="3">
    <w:nsid w:val="6C0D7256"/>
    <w:multiLevelType w:val="singleLevel"/>
    <w:tmpl w:val="6C0D7256"/>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6555"/>
    <w:rsid w:val="00000FF5"/>
    <w:rsid w:val="00004545"/>
    <w:rsid w:val="00007E3A"/>
    <w:rsid w:val="00013782"/>
    <w:rsid w:val="00020F8C"/>
    <w:rsid w:val="00020FFF"/>
    <w:rsid w:val="000215A7"/>
    <w:rsid w:val="000225DA"/>
    <w:rsid w:val="000252C4"/>
    <w:rsid w:val="000256B1"/>
    <w:rsid w:val="0002757D"/>
    <w:rsid w:val="000277CB"/>
    <w:rsid w:val="00031316"/>
    <w:rsid w:val="000326AC"/>
    <w:rsid w:val="00057698"/>
    <w:rsid w:val="00057AC5"/>
    <w:rsid w:val="00060670"/>
    <w:rsid w:val="000709C8"/>
    <w:rsid w:val="00073DE8"/>
    <w:rsid w:val="00075755"/>
    <w:rsid w:val="00076015"/>
    <w:rsid w:val="000807AA"/>
    <w:rsid w:val="00083211"/>
    <w:rsid w:val="000837C9"/>
    <w:rsid w:val="000851B2"/>
    <w:rsid w:val="00085355"/>
    <w:rsid w:val="000865D8"/>
    <w:rsid w:val="0009546C"/>
    <w:rsid w:val="000973D9"/>
    <w:rsid w:val="000A4984"/>
    <w:rsid w:val="000A4E5F"/>
    <w:rsid w:val="000B20F6"/>
    <w:rsid w:val="000B39D2"/>
    <w:rsid w:val="000B579D"/>
    <w:rsid w:val="000B5F99"/>
    <w:rsid w:val="000C3BB8"/>
    <w:rsid w:val="000C57FF"/>
    <w:rsid w:val="000D1CE9"/>
    <w:rsid w:val="000D30BD"/>
    <w:rsid w:val="000D7216"/>
    <w:rsid w:val="000E0E54"/>
    <w:rsid w:val="000E1A8E"/>
    <w:rsid w:val="000E5316"/>
    <w:rsid w:val="000F3D23"/>
    <w:rsid w:val="00101B06"/>
    <w:rsid w:val="0010396E"/>
    <w:rsid w:val="00104AAD"/>
    <w:rsid w:val="00105D45"/>
    <w:rsid w:val="00116A8E"/>
    <w:rsid w:val="00147F5A"/>
    <w:rsid w:val="001518D9"/>
    <w:rsid w:val="00152648"/>
    <w:rsid w:val="001540F4"/>
    <w:rsid w:val="00156FF2"/>
    <w:rsid w:val="00157290"/>
    <w:rsid w:val="001622DC"/>
    <w:rsid w:val="00166DA5"/>
    <w:rsid w:val="00167C6D"/>
    <w:rsid w:val="00172D45"/>
    <w:rsid w:val="001760C7"/>
    <w:rsid w:val="0018055A"/>
    <w:rsid w:val="001851A2"/>
    <w:rsid w:val="0018737C"/>
    <w:rsid w:val="001877F6"/>
    <w:rsid w:val="00193CDB"/>
    <w:rsid w:val="00194DF4"/>
    <w:rsid w:val="001A3C01"/>
    <w:rsid w:val="001A7947"/>
    <w:rsid w:val="001B1663"/>
    <w:rsid w:val="001B458A"/>
    <w:rsid w:val="001E523B"/>
    <w:rsid w:val="001E6FA9"/>
    <w:rsid w:val="00200B92"/>
    <w:rsid w:val="0021018C"/>
    <w:rsid w:val="0021611A"/>
    <w:rsid w:val="00220293"/>
    <w:rsid w:val="00222312"/>
    <w:rsid w:val="00224178"/>
    <w:rsid w:val="002308C0"/>
    <w:rsid w:val="002362AB"/>
    <w:rsid w:val="00241C72"/>
    <w:rsid w:val="00246CC8"/>
    <w:rsid w:val="002514D2"/>
    <w:rsid w:val="0025424C"/>
    <w:rsid w:val="002638F3"/>
    <w:rsid w:val="00270302"/>
    <w:rsid w:val="00276A42"/>
    <w:rsid w:val="0028271B"/>
    <w:rsid w:val="0029059B"/>
    <w:rsid w:val="00291A1B"/>
    <w:rsid w:val="00294DB0"/>
    <w:rsid w:val="002A1AA1"/>
    <w:rsid w:val="002A37E9"/>
    <w:rsid w:val="002A515D"/>
    <w:rsid w:val="002A5312"/>
    <w:rsid w:val="002A6505"/>
    <w:rsid w:val="002B09EC"/>
    <w:rsid w:val="002B3CED"/>
    <w:rsid w:val="002C0231"/>
    <w:rsid w:val="002C1B79"/>
    <w:rsid w:val="002C26D1"/>
    <w:rsid w:val="002D620C"/>
    <w:rsid w:val="002E5A17"/>
    <w:rsid w:val="002F6C97"/>
    <w:rsid w:val="0030129E"/>
    <w:rsid w:val="003012A7"/>
    <w:rsid w:val="003061DD"/>
    <w:rsid w:val="00307CBC"/>
    <w:rsid w:val="003113BA"/>
    <w:rsid w:val="00322611"/>
    <w:rsid w:val="00322A8F"/>
    <w:rsid w:val="00326E95"/>
    <w:rsid w:val="00330C9C"/>
    <w:rsid w:val="00334C9C"/>
    <w:rsid w:val="00340874"/>
    <w:rsid w:val="00347D24"/>
    <w:rsid w:val="003522DA"/>
    <w:rsid w:val="003524F1"/>
    <w:rsid w:val="00353E41"/>
    <w:rsid w:val="0035409E"/>
    <w:rsid w:val="003650BA"/>
    <w:rsid w:val="003728FD"/>
    <w:rsid w:val="003777BF"/>
    <w:rsid w:val="003877F6"/>
    <w:rsid w:val="00387CFF"/>
    <w:rsid w:val="00396288"/>
    <w:rsid w:val="00397627"/>
    <w:rsid w:val="00397639"/>
    <w:rsid w:val="003A2576"/>
    <w:rsid w:val="003A5634"/>
    <w:rsid w:val="003A595C"/>
    <w:rsid w:val="003B5028"/>
    <w:rsid w:val="003C3A1C"/>
    <w:rsid w:val="003D0F02"/>
    <w:rsid w:val="003D3D15"/>
    <w:rsid w:val="003D4D21"/>
    <w:rsid w:val="003D4E86"/>
    <w:rsid w:val="003E3B59"/>
    <w:rsid w:val="003E7A0F"/>
    <w:rsid w:val="003F2E90"/>
    <w:rsid w:val="0040080A"/>
    <w:rsid w:val="00402A86"/>
    <w:rsid w:val="004070D4"/>
    <w:rsid w:val="00434086"/>
    <w:rsid w:val="004353C3"/>
    <w:rsid w:val="00436B72"/>
    <w:rsid w:val="00445888"/>
    <w:rsid w:val="0045243D"/>
    <w:rsid w:val="00454ABD"/>
    <w:rsid w:val="0045637B"/>
    <w:rsid w:val="00456B1B"/>
    <w:rsid w:val="0047211B"/>
    <w:rsid w:val="004726B8"/>
    <w:rsid w:val="004737F6"/>
    <w:rsid w:val="004753C6"/>
    <w:rsid w:val="00477469"/>
    <w:rsid w:val="00477B40"/>
    <w:rsid w:val="00482274"/>
    <w:rsid w:val="004870DF"/>
    <w:rsid w:val="00487F35"/>
    <w:rsid w:val="00487F75"/>
    <w:rsid w:val="004923C4"/>
    <w:rsid w:val="004932FE"/>
    <w:rsid w:val="004C2AB4"/>
    <w:rsid w:val="004D435A"/>
    <w:rsid w:val="004D53CF"/>
    <w:rsid w:val="004D6D89"/>
    <w:rsid w:val="004D727B"/>
    <w:rsid w:val="004E0DAC"/>
    <w:rsid w:val="004E1B92"/>
    <w:rsid w:val="004E4413"/>
    <w:rsid w:val="004E598F"/>
    <w:rsid w:val="004F26CC"/>
    <w:rsid w:val="005032C8"/>
    <w:rsid w:val="00505FBF"/>
    <w:rsid w:val="00513A4A"/>
    <w:rsid w:val="005468B4"/>
    <w:rsid w:val="00560371"/>
    <w:rsid w:val="00562762"/>
    <w:rsid w:val="00563563"/>
    <w:rsid w:val="00567857"/>
    <w:rsid w:val="005777F4"/>
    <w:rsid w:val="00586AF6"/>
    <w:rsid w:val="005A12A7"/>
    <w:rsid w:val="005A50E8"/>
    <w:rsid w:val="005A6367"/>
    <w:rsid w:val="005B01E8"/>
    <w:rsid w:val="005B6FBC"/>
    <w:rsid w:val="005B7705"/>
    <w:rsid w:val="005C2740"/>
    <w:rsid w:val="005E216B"/>
    <w:rsid w:val="005E4845"/>
    <w:rsid w:val="005E64FF"/>
    <w:rsid w:val="005E6FA9"/>
    <w:rsid w:val="005F28B9"/>
    <w:rsid w:val="005F760D"/>
    <w:rsid w:val="005F78B9"/>
    <w:rsid w:val="0060530E"/>
    <w:rsid w:val="00607263"/>
    <w:rsid w:val="006105E9"/>
    <w:rsid w:val="006117C3"/>
    <w:rsid w:val="006169B9"/>
    <w:rsid w:val="00630C09"/>
    <w:rsid w:val="00647152"/>
    <w:rsid w:val="006479FB"/>
    <w:rsid w:val="006611B1"/>
    <w:rsid w:val="0067081E"/>
    <w:rsid w:val="00671DC8"/>
    <w:rsid w:val="00673A7D"/>
    <w:rsid w:val="0068424B"/>
    <w:rsid w:val="00685716"/>
    <w:rsid w:val="00692190"/>
    <w:rsid w:val="006A2209"/>
    <w:rsid w:val="006B4CAD"/>
    <w:rsid w:val="006D0B9D"/>
    <w:rsid w:val="006D0C14"/>
    <w:rsid w:val="006E33FB"/>
    <w:rsid w:val="006E5E15"/>
    <w:rsid w:val="00731A60"/>
    <w:rsid w:val="00732924"/>
    <w:rsid w:val="007339BD"/>
    <w:rsid w:val="007402E9"/>
    <w:rsid w:val="00747C99"/>
    <w:rsid w:val="00752D9C"/>
    <w:rsid w:val="00754830"/>
    <w:rsid w:val="00757238"/>
    <w:rsid w:val="0075798A"/>
    <w:rsid w:val="00760C5C"/>
    <w:rsid w:val="00762755"/>
    <w:rsid w:val="00762D0F"/>
    <w:rsid w:val="007657EA"/>
    <w:rsid w:val="00765B5B"/>
    <w:rsid w:val="00767B73"/>
    <w:rsid w:val="00782A87"/>
    <w:rsid w:val="00783898"/>
    <w:rsid w:val="007849E3"/>
    <w:rsid w:val="007862F5"/>
    <w:rsid w:val="00787E5D"/>
    <w:rsid w:val="007913D9"/>
    <w:rsid w:val="00795DB6"/>
    <w:rsid w:val="007A2C1E"/>
    <w:rsid w:val="007A4D7D"/>
    <w:rsid w:val="007B50C8"/>
    <w:rsid w:val="007B61D0"/>
    <w:rsid w:val="007D167B"/>
    <w:rsid w:val="007D1D14"/>
    <w:rsid w:val="007D22E7"/>
    <w:rsid w:val="007D34B1"/>
    <w:rsid w:val="007D39E9"/>
    <w:rsid w:val="007E0EC6"/>
    <w:rsid w:val="007E2A4E"/>
    <w:rsid w:val="007F1FE9"/>
    <w:rsid w:val="008022D0"/>
    <w:rsid w:val="00810B1E"/>
    <w:rsid w:val="00810CB7"/>
    <w:rsid w:val="008117AF"/>
    <w:rsid w:val="00825C44"/>
    <w:rsid w:val="0082764C"/>
    <w:rsid w:val="00833180"/>
    <w:rsid w:val="00833382"/>
    <w:rsid w:val="008357D1"/>
    <w:rsid w:val="00840AE1"/>
    <w:rsid w:val="00842181"/>
    <w:rsid w:val="00842F73"/>
    <w:rsid w:val="008442B5"/>
    <w:rsid w:val="00860D14"/>
    <w:rsid w:val="00861BB0"/>
    <w:rsid w:val="008649DF"/>
    <w:rsid w:val="00867963"/>
    <w:rsid w:val="0087451F"/>
    <w:rsid w:val="00874DAC"/>
    <w:rsid w:val="00885546"/>
    <w:rsid w:val="008878C8"/>
    <w:rsid w:val="008A3F70"/>
    <w:rsid w:val="008A5308"/>
    <w:rsid w:val="008A79EA"/>
    <w:rsid w:val="008B2C97"/>
    <w:rsid w:val="008B2DF5"/>
    <w:rsid w:val="008B356B"/>
    <w:rsid w:val="008C0EF2"/>
    <w:rsid w:val="008C3FD4"/>
    <w:rsid w:val="008D2200"/>
    <w:rsid w:val="008D3C2D"/>
    <w:rsid w:val="008F4A4C"/>
    <w:rsid w:val="00916C46"/>
    <w:rsid w:val="009265ED"/>
    <w:rsid w:val="0092777F"/>
    <w:rsid w:val="00935FC5"/>
    <w:rsid w:val="00936555"/>
    <w:rsid w:val="00942902"/>
    <w:rsid w:val="00942E27"/>
    <w:rsid w:val="00943070"/>
    <w:rsid w:val="00947136"/>
    <w:rsid w:val="00950FC3"/>
    <w:rsid w:val="00957812"/>
    <w:rsid w:val="00960AFB"/>
    <w:rsid w:val="0096217E"/>
    <w:rsid w:val="009642D3"/>
    <w:rsid w:val="009661B1"/>
    <w:rsid w:val="00967400"/>
    <w:rsid w:val="00973DC9"/>
    <w:rsid w:val="00974CCC"/>
    <w:rsid w:val="00980118"/>
    <w:rsid w:val="00982CD8"/>
    <w:rsid w:val="00985464"/>
    <w:rsid w:val="00993E3A"/>
    <w:rsid w:val="009A211C"/>
    <w:rsid w:val="009A7FE3"/>
    <w:rsid w:val="009B066E"/>
    <w:rsid w:val="009B3220"/>
    <w:rsid w:val="009B6A50"/>
    <w:rsid w:val="009C5A93"/>
    <w:rsid w:val="009C6169"/>
    <w:rsid w:val="009D419F"/>
    <w:rsid w:val="009D709A"/>
    <w:rsid w:val="009D79E0"/>
    <w:rsid w:val="009E0ECF"/>
    <w:rsid w:val="009E2D87"/>
    <w:rsid w:val="009E2E36"/>
    <w:rsid w:val="009E342B"/>
    <w:rsid w:val="009F2872"/>
    <w:rsid w:val="009F756A"/>
    <w:rsid w:val="00A04509"/>
    <w:rsid w:val="00A0785B"/>
    <w:rsid w:val="00A17225"/>
    <w:rsid w:val="00A17320"/>
    <w:rsid w:val="00A227C3"/>
    <w:rsid w:val="00A22F02"/>
    <w:rsid w:val="00A41073"/>
    <w:rsid w:val="00A44BAD"/>
    <w:rsid w:val="00A46C65"/>
    <w:rsid w:val="00A56024"/>
    <w:rsid w:val="00A61302"/>
    <w:rsid w:val="00A61BA7"/>
    <w:rsid w:val="00A62D94"/>
    <w:rsid w:val="00A72F13"/>
    <w:rsid w:val="00A73136"/>
    <w:rsid w:val="00A73A7E"/>
    <w:rsid w:val="00A850F2"/>
    <w:rsid w:val="00A904CD"/>
    <w:rsid w:val="00A91039"/>
    <w:rsid w:val="00AA1675"/>
    <w:rsid w:val="00AA1F7B"/>
    <w:rsid w:val="00AB32BB"/>
    <w:rsid w:val="00AB3492"/>
    <w:rsid w:val="00AB3EA3"/>
    <w:rsid w:val="00AB6629"/>
    <w:rsid w:val="00AC3BC6"/>
    <w:rsid w:val="00AC4D5D"/>
    <w:rsid w:val="00AD28D3"/>
    <w:rsid w:val="00AF5EBD"/>
    <w:rsid w:val="00B01E6C"/>
    <w:rsid w:val="00B01F0E"/>
    <w:rsid w:val="00B02AB5"/>
    <w:rsid w:val="00B040B5"/>
    <w:rsid w:val="00B04B2D"/>
    <w:rsid w:val="00B04D7F"/>
    <w:rsid w:val="00B05075"/>
    <w:rsid w:val="00B11E13"/>
    <w:rsid w:val="00B15870"/>
    <w:rsid w:val="00B37DDD"/>
    <w:rsid w:val="00B401AB"/>
    <w:rsid w:val="00B45463"/>
    <w:rsid w:val="00B5547C"/>
    <w:rsid w:val="00B62073"/>
    <w:rsid w:val="00B63158"/>
    <w:rsid w:val="00B6553F"/>
    <w:rsid w:val="00B65892"/>
    <w:rsid w:val="00B775B3"/>
    <w:rsid w:val="00B81A05"/>
    <w:rsid w:val="00B82726"/>
    <w:rsid w:val="00B83148"/>
    <w:rsid w:val="00B87200"/>
    <w:rsid w:val="00B925C2"/>
    <w:rsid w:val="00B966EF"/>
    <w:rsid w:val="00B96AA4"/>
    <w:rsid w:val="00B96AF1"/>
    <w:rsid w:val="00B978F5"/>
    <w:rsid w:val="00BA1CA1"/>
    <w:rsid w:val="00BA3E12"/>
    <w:rsid w:val="00BB0201"/>
    <w:rsid w:val="00BB3A31"/>
    <w:rsid w:val="00BB3DCE"/>
    <w:rsid w:val="00BB63B9"/>
    <w:rsid w:val="00BC02E8"/>
    <w:rsid w:val="00BC6CD9"/>
    <w:rsid w:val="00BC7288"/>
    <w:rsid w:val="00BD233C"/>
    <w:rsid w:val="00BE440A"/>
    <w:rsid w:val="00BF08A2"/>
    <w:rsid w:val="00BF2187"/>
    <w:rsid w:val="00BF4B4C"/>
    <w:rsid w:val="00BF5927"/>
    <w:rsid w:val="00C0004E"/>
    <w:rsid w:val="00C0471D"/>
    <w:rsid w:val="00C061BA"/>
    <w:rsid w:val="00C1657F"/>
    <w:rsid w:val="00C229E7"/>
    <w:rsid w:val="00C2324F"/>
    <w:rsid w:val="00C37A06"/>
    <w:rsid w:val="00C40F6F"/>
    <w:rsid w:val="00C4400B"/>
    <w:rsid w:val="00C44325"/>
    <w:rsid w:val="00C45209"/>
    <w:rsid w:val="00C56287"/>
    <w:rsid w:val="00C62BDD"/>
    <w:rsid w:val="00C6665F"/>
    <w:rsid w:val="00C816C4"/>
    <w:rsid w:val="00C92825"/>
    <w:rsid w:val="00C94132"/>
    <w:rsid w:val="00C94E14"/>
    <w:rsid w:val="00C955B4"/>
    <w:rsid w:val="00C963D2"/>
    <w:rsid w:val="00CA00D3"/>
    <w:rsid w:val="00CA4123"/>
    <w:rsid w:val="00CA782B"/>
    <w:rsid w:val="00CA7955"/>
    <w:rsid w:val="00CB2493"/>
    <w:rsid w:val="00CB579F"/>
    <w:rsid w:val="00CB6957"/>
    <w:rsid w:val="00CC0A88"/>
    <w:rsid w:val="00CC27DB"/>
    <w:rsid w:val="00CC4419"/>
    <w:rsid w:val="00CD1792"/>
    <w:rsid w:val="00CE1FF4"/>
    <w:rsid w:val="00CE61CF"/>
    <w:rsid w:val="00CF1E69"/>
    <w:rsid w:val="00CF7C09"/>
    <w:rsid w:val="00D03CAE"/>
    <w:rsid w:val="00D061AA"/>
    <w:rsid w:val="00D06673"/>
    <w:rsid w:val="00D068EB"/>
    <w:rsid w:val="00D06C3E"/>
    <w:rsid w:val="00D07089"/>
    <w:rsid w:val="00D17A15"/>
    <w:rsid w:val="00D21326"/>
    <w:rsid w:val="00D27EA7"/>
    <w:rsid w:val="00D31C28"/>
    <w:rsid w:val="00D41EF0"/>
    <w:rsid w:val="00D476AC"/>
    <w:rsid w:val="00D5147A"/>
    <w:rsid w:val="00D602C5"/>
    <w:rsid w:val="00D63155"/>
    <w:rsid w:val="00D63C7B"/>
    <w:rsid w:val="00D63ECF"/>
    <w:rsid w:val="00D662FC"/>
    <w:rsid w:val="00D8115F"/>
    <w:rsid w:val="00D8479F"/>
    <w:rsid w:val="00D90ABD"/>
    <w:rsid w:val="00DA30A5"/>
    <w:rsid w:val="00DA30F9"/>
    <w:rsid w:val="00DA449C"/>
    <w:rsid w:val="00DA7089"/>
    <w:rsid w:val="00DB2B6E"/>
    <w:rsid w:val="00DC5E28"/>
    <w:rsid w:val="00DD0024"/>
    <w:rsid w:val="00DE1B04"/>
    <w:rsid w:val="00DF24D3"/>
    <w:rsid w:val="00DF319C"/>
    <w:rsid w:val="00DF35C4"/>
    <w:rsid w:val="00DF571B"/>
    <w:rsid w:val="00E0342E"/>
    <w:rsid w:val="00E041B2"/>
    <w:rsid w:val="00E06E43"/>
    <w:rsid w:val="00E1121B"/>
    <w:rsid w:val="00E11230"/>
    <w:rsid w:val="00E12601"/>
    <w:rsid w:val="00E23299"/>
    <w:rsid w:val="00E23602"/>
    <w:rsid w:val="00E2392E"/>
    <w:rsid w:val="00E23A91"/>
    <w:rsid w:val="00E23CB1"/>
    <w:rsid w:val="00E25713"/>
    <w:rsid w:val="00E32115"/>
    <w:rsid w:val="00E50237"/>
    <w:rsid w:val="00E50DC9"/>
    <w:rsid w:val="00E604CB"/>
    <w:rsid w:val="00E64FDA"/>
    <w:rsid w:val="00E80528"/>
    <w:rsid w:val="00E84A02"/>
    <w:rsid w:val="00E85C09"/>
    <w:rsid w:val="00E8716E"/>
    <w:rsid w:val="00E8729E"/>
    <w:rsid w:val="00EA1B01"/>
    <w:rsid w:val="00EA4AC9"/>
    <w:rsid w:val="00EB048A"/>
    <w:rsid w:val="00EB4F97"/>
    <w:rsid w:val="00EB6989"/>
    <w:rsid w:val="00EB7109"/>
    <w:rsid w:val="00EB7A21"/>
    <w:rsid w:val="00EC2EDB"/>
    <w:rsid w:val="00EC5D7A"/>
    <w:rsid w:val="00EC72E8"/>
    <w:rsid w:val="00ED755D"/>
    <w:rsid w:val="00EE0420"/>
    <w:rsid w:val="00EE1444"/>
    <w:rsid w:val="00EE1B3A"/>
    <w:rsid w:val="00EE51F8"/>
    <w:rsid w:val="00EF3ECC"/>
    <w:rsid w:val="00EF6EBF"/>
    <w:rsid w:val="00EF7C91"/>
    <w:rsid w:val="00F10308"/>
    <w:rsid w:val="00F2456F"/>
    <w:rsid w:val="00F252ED"/>
    <w:rsid w:val="00F34166"/>
    <w:rsid w:val="00F47F23"/>
    <w:rsid w:val="00F546FC"/>
    <w:rsid w:val="00F6172D"/>
    <w:rsid w:val="00F71033"/>
    <w:rsid w:val="00F91A4F"/>
    <w:rsid w:val="00F91E10"/>
    <w:rsid w:val="00F9421E"/>
    <w:rsid w:val="00F979E3"/>
    <w:rsid w:val="00FA02D3"/>
    <w:rsid w:val="00FA35D0"/>
    <w:rsid w:val="00FA622B"/>
    <w:rsid w:val="00FB031E"/>
    <w:rsid w:val="00FB150A"/>
    <w:rsid w:val="00FB4D92"/>
    <w:rsid w:val="00FD496A"/>
    <w:rsid w:val="00FD7601"/>
    <w:rsid w:val="00FE282B"/>
    <w:rsid w:val="00FE29DB"/>
    <w:rsid w:val="00FE63FD"/>
    <w:rsid w:val="00FF129A"/>
    <w:rsid w:val="00FF40D1"/>
    <w:rsid w:val="00FF7531"/>
    <w:rsid w:val="0D813687"/>
    <w:rsid w:val="0E065112"/>
    <w:rsid w:val="0EEA631B"/>
    <w:rsid w:val="0FCE78BE"/>
    <w:rsid w:val="14B172A5"/>
    <w:rsid w:val="2B25390E"/>
    <w:rsid w:val="2FD065DE"/>
    <w:rsid w:val="329C3236"/>
    <w:rsid w:val="3DC02F3E"/>
    <w:rsid w:val="41A27D10"/>
    <w:rsid w:val="45863047"/>
    <w:rsid w:val="4E6B3580"/>
    <w:rsid w:val="4F7D2C08"/>
    <w:rsid w:val="522432E6"/>
    <w:rsid w:val="535068E2"/>
    <w:rsid w:val="54D57DD6"/>
    <w:rsid w:val="563B3ADE"/>
    <w:rsid w:val="5698693B"/>
    <w:rsid w:val="5ED7747B"/>
    <w:rsid w:val="5F455E67"/>
    <w:rsid w:val="61F348A8"/>
    <w:rsid w:val="6D866739"/>
    <w:rsid w:val="70650CD3"/>
    <w:rsid w:val="758C6262"/>
    <w:rsid w:val="7A1D456C"/>
    <w:rsid w:val="7C62529F"/>
    <w:rsid w:val="7DFC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40" w:after="240"/>
      <w:ind w:firstLine="0" w:firstLineChars="0"/>
      <w:outlineLvl w:val="1"/>
    </w:pPr>
    <w:rPr>
      <w:rFonts w:ascii="Cambria" w:hAnsi="Cambria" w:eastAsia="黑体"/>
      <w:b/>
      <w:bCs/>
      <w:sz w:val="30"/>
      <w:szCs w:val="32"/>
    </w:rPr>
  </w:style>
  <w:style w:type="paragraph" w:styleId="4">
    <w:name w:val="heading 3"/>
    <w:basedOn w:val="1"/>
    <w:next w:val="1"/>
    <w:link w:val="22"/>
    <w:qFormat/>
    <w:uiPriority w:val="0"/>
    <w:pPr>
      <w:keepNext/>
      <w:keepLines/>
      <w:spacing w:before="120" w:after="120"/>
      <w:ind w:firstLine="0" w:firstLineChars="0"/>
      <w:jc w:val="left"/>
      <w:outlineLvl w:val="2"/>
    </w:pPr>
    <w:rPr>
      <w:rFonts w:ascii="Calibri" w:hAnsi="Calibri" w:eastAsia="黑体"/>
      <w:bCs/>
      <w:sz w:val="28"/>
      <w:szCs w:val="32"/>
    </w:rPr>
  </w:style>
  <w:style w:type="paragraph" w:styleId="5">
    <w:name w:val="heading 4"/>
    <w:basedOn w:val="1"/>
    <w:next w:val="1"/>
    <w:link w:val="23"/>
    <w:qFormat/>
    <w:uiPriority w:val="0"/>
    <w:pPr>
      <w:keepNext/>
      <w:keepLines/>
      <w:spacing w:before="120" w:after="120"/>
      <w:ind w:firstLine="0" w:firstLineChars="0"/>
      <w:outlineLvl w:val="3"/>
    </w:pPr>
    <w:rPr>
      <w:rFonts w:ascii="Cambria" w:hAnsi="Cambria" w:eastAsia="黑体"/>
      <w:bCs/>
      <w:szCs w:val="28"/>
    </w:rPr>
  </w:style>
  <w:style w:type="character" w:default="1" w:styleId="17">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2"/>
    <w:semiHidden/>
    <w:unhideWhenUsed/>
    <w:qFormat/>
    <w:uiPriority w:val="99"/>
    <w:rPr>
      <w:rFonts w:ascii="宋体"/>
      <w:sz w:val="18"/>
      <w:szCs w:val="18"/>
    </w:rPr>
  </w:style>
  <w:style w:type="paragraph" w:styleId="7">
    <w:name w:val="annotation text"/>
    <w:basedOn w:val="1"/>
    <w:link w:val="34"/>
    <w:semiHidden/>
    <w:unhideWhenUsed/>
    <w:qFormat/>
    <w:uiPriority w:val="99"/>
    <w:pPr>
      <w:jc w:val="left"/>
    </w:pPr>
  </w:style>
  <w:style w:type="paragraph" w:styleId="8">
    <w:name w:val="Balloon Text"/>
    <w:basedOn w:val="1"/>
    <w:link w:val="26"/>
    <w:semiHidden/>
    <w:unhideWhenUsed/>
    <w:qFormat/>
    <w:uiPriority w:val="99"/>
    <w:rPr>
      <w:sz w:val="18"/>
      <w:szCs w:val="18"/>
    </w:rPr>
  </w:style>
  <w:style w:type="paragraph" w:styleId="9">
    <w:name w:val="footer"/>
    <w:basedOn w:val="1"/>
    <w:link w:val="27"/>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szCs w:val="22"/>
    </w:rPr>
  </w:style>
  <w:style w:type="paragraph" w:styleId="11">
    <w:name w:val="Subtitle"/>
    <w:basedOn w:val="1"/>
    <w:next w:val="1"/>
    <w:link w:val="24"/>
    <w:qFormat/>
    <w:uiPriority w:val="0"/>
    <w:pPr>
      <w:spacing w:before="120" w:after="120"/>
      <w:ind w:firstLine="0" w:firstLineChars="0"/>
      <w:outlineLvl w:val="3"/>
    </w:pPr>
    <w:rPr>
      <w:rFonts w:ascii="Cambria" w:hAnsi="Cambria" w:eastAsia="黑体" w:cstheme="minorBidi"/>
      <w:bCs/>
      <w:kern w:val="28"/>
      <w:szCs w:val="32"/>
    </w:rPr>
  </w:style>
  <w:style w:type="paragraph" w:styleId="12">
    <w:name w:val="Normal (Web)"/>
    <w:basedOn w:val="1"/>
    <w:semiHidden/>
    <w:unhideWhenUsed/>
    <w:qFormat/>
    <w:uiPriority w:val="99"/>
    <w:pPr>
      <w:spacing w:beforeAutospacing="1" w:afterAutospacing="1"/>
      <w:jc w:val="left"/>
    </w:pPr>
    <w:rPr>
      <w:kern w:val="0"/>
    </w:rPr>
  </w:style>
  <w:style w:type="paragraph" w:styleId="13">
    <w:name w:val="annotation subject"/>
    <w:basedOn w:val="7"/>
    <w:next w:val="7"/>
    <w:link w:val="3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Shading Accent 5"/>
    <w:basedOn w:val="14"/>
    <w:qFormat/>
    <w:uiPriority w:val="60"/>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character" w:styleId="18">
    <w:name w:val="Strong"/>
    <w:basedOn w:val="17"/>
    <w:qFormat/>
    <w:uiPriority w:val="22"/>
    <w:rPr>
      <w:b/>
      <w:bCs/>
    </w:rPr>
  </w:style>
  <w:style w:type="character" w:styleId="19">
    <w:name w:val="Emphasis"/>
    <w:basedOn w:val="17"/>
    <w:qFormat/>
    <w:uiPriority w:val="20"/>
    <w:rPr>
      <w:rFonts w:eastAsia="宋体"/>
      <w:iCs/>
      <w:sz w:val="21"/>
    </w:rPr>
  </w:style>
  <w:style w:type="character" w:styleId="20">
    <w:name w:val="annotation reference"/>
    <w:basedOn w:val="17"/>
    <w:semiHidden/>
    <w:unhideWhenUsed/>
    <w:qFormat/>
    <w:uiPriority w:val="99"/>
    <w:rPr>
      <w:sz w:val="21"/>
      <w:szCs w:val="21"/>
    </w:rPr>
  </w:style>
  <w:style w:type="character" w:customStyle="1" w:styleId="21">
    <w:name w:val="标题 2 Char"/>
    <w:basedOn w:val="17"/>
    <w:link w:val="3"/>
    <w:qFormat/>
    <w:uiPriority w:val="0"/>
    <w:rPr>
      <w:rFonts w:ascii="Cambria" w:hAnsi="Cambria" w:eastAsia="黑体" w:cs="Times New Roman"/>
      <w:b/>
      <w:bCs/>
      <w:sz w:val="30"/>
      <w:szCs w:val="32"/>
    </w:rPr>
  </w:style>
  <w:style w:type="character" w:customStyle="1" w:styleId="22">
    <w:name w:val="标题 3 Char"/>
    <w:basedOn w:val="17"/>
    <w:link w:val="4"/>
    <w:qFormat/>
    <w:uiPriority w:val="0"/>
    <w:rPr>
      <w:rFonts w:ascii="Calibri" w:hAnsi="Calibri" w:eastAsia="黑体" w:cs="Times New Roman"/>
      <w:bCs/>
      <w:sz w:val="28"/>
      <w:szCs w:val="32"/>
    </w:rPr>
  </w:style>
  <w:style w:type="character" w:customStyle="1" w:styleId="23">
    <w:name w:val="标题 4 Char"/>
    <w:basedOn w:val="17"/>
    <w:link w:val="5"/>
    <w:qFormat/>
    <w:uiPriority w:val="0"/>
    <w:rPr>
      <w:rFonts w:ascii="Cambria" w:hAnsi="Cambria" w:eastAsia="黑体" w:cs="Times New Roman"/>
      <w:bCs/>
      <w:sz w:val="24"/>
      <w:szCs w:val="28"/>
    </w:rPr>
  </w:style>
  <w:style w:type="character" w:customStyle="1" w:styleId="24">
    <w:name w:val="副标题 Char"/>
    <w:basedOn w:val="17"/>
    <w:link w:val="11"/>
    <w:qFormat/>
    <w:uiPriority w:val="0"/>
    <w:rPr>
      <w:rFonts w:ascii="Cambria" w:hAnsi="Cambria" w:eastAsia="黑体"/>
      <w:bCs/>
      <w:kern w:val="28"/>
      <w:sz w:val="24"/>
      <w:szCs w:val="32"/>
    </w:rPr>
  </w:style>
  <w:style w:type="character" w:customStyle="1" w:styleId="25">
    <w:name w:val="副标题 Char1"/>
    <w:basedOn w:val="17"/>
    <w:qFormat/>
    <w:uiPriority w:val="11"/>
    <w:rPr>
      <w:rFonts w:eastAsia="宋体" w:asciiTheme="majorHAnsi" w:hAnsiTheme="majorHAnsi" w:cstheme="majorBidi"/>
      <w:b/>
      <w:bCs/>
      <w:kern w:val="28"/>
      <w:sz w:val="32"/>
      <w:szCs w:val="32"/>
    </w:rPr>
  </w:style>
  <w:style w:type="character" w:customStyle="1" w:styleId="26">
    <w:name w:val="批注框文本 Char"/>
    <w:basedOn w:val="17"/>
    <w:link w:val="8"/>
    <w:semiHidden/>
    <w:qFormat/>
    <w:uiPriority w:val="99"/>
    <w:rPr>
      <w:rFonts w:ascii="Times New Roman" w:hAnsi="Times New Roman" w:eastAsia="宋体" w:cs="Times New Roman"/>
      <w:sz w:val="18"/>
      <w:szCs w:val="18"/>
    </w:rPr>
  </w:style>
  <w:style w:type="character" w:customStyle="1" w:styleId="27">
    <w:name w:val="页脚 Char"/>
    <w:basedOn w:val="17"/>
    <w:link w:val="9"/>
    <w:qFormat/>
    <w:uiPriority w:val="0"/>
    <w:rPr>
      <w:sz w:val="18"/>
    </w:rPr>
  </w:style>
  <w:style w:type="character" w:customStyle="1" w:styleId="28">
    <w:name w:val="页眉 Char"/>
    <w:basedOn w:val="17"/>
    <w:link w:val="10"/>
    <w:qFormat/>
    <w:uiPriority w:val="0"/>
    <w:rPr>
      <w:sz w:val="18"/>
    </w:rPr>
  </w:style>
  <w:style w:type="character" w:customStyle="1" w:styleId="29">
    <w:name w:val="页眉 Char1"/>
    <w:basedOn w:val="17"/>
    <w:semiHidden/>
    <w:qFormat/>
    <w:uiPriority w:val="99"/>
    <w:rPr>
      <w:rFonts w:ascii="Times New Roman" w:hAnsi="Times New Roman" w:eastAsia="宋体" w:cs="Times New Roman"/>
      <w:sz w:val="18"/>
      <w:szCs w:val="18"/>
    </w:rPr>
  </w:style>
  <w:style w:type="character" w:customStyle="1" w:styleId="30">
    <w:name w:val="页脚 Char1"/>
    <w:basedOn w:val="17"/>
    <w:semiHidden/>
    <w:qFormat/>
    <w:uiPriority w:val="99"/>
    <w:rPr>
      <w:rFonts w:ascii="Times New Roman" w:hAnsi="Times New Roman" w:eastAsia="宋体" w:cs="Times New Roman"/>
      <w:sz w:val="18"/>
      <w:szCs w:val="18"/>
    </w:rPr>
  </w:style>
  <w:style w:type="paragraph" w:styleId="31">
    <w:name w:val="List Paragraph"/>
    <w:basedOn w:val="1"/>
    <w:qFormat/>
    <w:uiPriority w:val="34"/>
    <w:pPr>
      <w:ind w:firstLine="420"/>
    </w:pPr>
  </w:style>
  <w:style w:type="character" w:customStyle="1" w:styleId="32">
    <w:name w:val="文档结构图 Char"/>
    <w:basedOn w:val="17"/>
    <w:link w:val="6"/>
    <w:semiHidden/>
    <w:qFormat/>
    <w:uiPriority w:val="99"/>
    <w:rPr>
      <w:rFonts w:ascii="宋体" w:hAnsi="Times New Roman" w:eastAsia="宋体" w:cs="Times New Roman"/>
      <w:sz w:val="18"/>
      <w:szCs w:val="18"/>
    </w:rPr>
  </w:style>
  <w:style w:type="character" w:customStyle="1" w:styleId="33">
    <w:name w:val="标题 1 Char"/>
    <w:basedOn w:val="17"/>
    <w:link w:val="2"/>
    <w:qFormat/>
    <w:uiPriority w:val="9"/>
    <w:rPr>
      <w:rFonts w:ascii="Times New Roman" w:hAnsi="Times New Roman" w:eastAsia="宋体" w:cs="Times New Roman"/>
      <w:b/>
      <w:bCs/>
      <w:kern w:val="44"/>
      <w:sz w:val="44"/>
      <w:szCs w:val="44"/>
    </w:rPr>
  </w:style>
  <w:style w:type="character" w:customStyle="1" w:styleId="34">
    <w:name w:val="批注文字 Char"/>
    <w:basedOn w:val="17"/>
    <w:link w:val="7"/>
    <w:semiHidden/>
    <w:qFormat/>
    <w:uiPriority w:val="99"/>
    <w:rPr>
      <w:rFonts w:ascii="Times New Roman" w:hAnsi="Times New Roman" w:eastAsia="宋体" w:cs="Times New Roman"/>
      <w:sz w:val="24"/>
      <w:szCs w:val="20"/>
    </w:rPr>
  </w:style>
  <w:style w:type="character" w:customStyle="1" w:styleId="35">
    <w:name w:val="批注主题 Char"/>
    <w:basedOn w:val="34"/>
    <w:link w:val="13"/>
    <w:semiHidden/>
    <w:qFormat/>
    <w:uiPriority w:val="99"/>
    <w:rPr>
      <w:rFonts w:ascii="Times New Roman" w:hAnsi="Times New Roman" w:eastAsia="宋体" w:cs="Times New Roman"/>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AFB2D-914B-42A3-86CD-5DA3F07C8B4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932</Words>
  <Characters>5314</Characters>
  <Lines>44</Lines>
  <Paragraphs>12</Paragraphs>
  <TotalTime>1</TotalTime>
  <ScaleCrop>false</ScaleCrop>
  <LinksUpToDate>false</LinksUpToDate>
  <CharactersWithSpaces>6234</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2019-07-05T01:21:00Z</dcterms:created>
  <dc:creator>jiji</dc:creator>
  <cp:lastModifiedBy>家具研究生办公室</cp:lastModifiedBy>
  <dcterms:modified xsi:type="dcterms:W3CDTF">2019-07-09T01:08:12Z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